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AA25B" w14:textId="77777777" w:rsidR="00632004" w:rsidRPr="00F3553B" w:rsidRDefault="005A4DFE" w:rsidP="00F3553B">
      <w:pPr>
        <w:pStyle w:val="Style46"/>
      </w:pPr>
      <w:r w:rsidRPr="00F3553B">
        <w:rPr>
          <w:noProof/>
          <w:lang w:val="en-US"/>
        </w:rPr>
        <w:drawing>
          <wp:inline distT="0" distB="0" distL="0" distR="0" wp14:anchorId="12822514" wp14:editId="25D5392C">
            <wp:extent cx="5760085" cy="1002030"/>
            <wp:effectExtent l="0" t="0" r="0" b="7620"/>
            <wp:docPr id="3" name="Picture 3" descr="F:\Y Dược 2018\MANGSET LOGO MỚI (NGỌC)\Y Duoc_tieng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 Dược 2018\MANGSET LOGO MỚI (NGỌC)\Y Duoc_tieng An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85" cy="1002030"/>
                    </a:xfrm>
                    <a:prstGeom prst="rect">
                      <a:avLst/>
                    </a:prstGeom>
                    <a:noFill/>
                    <a:ln>
                      <a:noFill/>
                    </a:ln>
                  </pic:spPr>
                </pic:pic>
              </a:graphicData>
            </a:graphic>
          </wp:inline>
        </w:drawing>
      </w:r>
      <w:r w:rsidR="00632004" w:rsidRPr="00F3553B">
        <w:t xml:space="preserve"> </w:t>
      </w:r>
    </w:p>
    <w:p w14:paraId="72991F51" w14:textId="77777777" w:rsidR="000C7E70" w:rsidRPr="00F3553B" w:rsidRDefault="00632004" w:rsidP="00F3553B">
      <w:pPr>
        <w:pStyle w:val="Style46"/>
        <w:rPr>
          <w:color w:val="000000" w:themeColor="text1"/>
          <w:sz w:val="28"/>
          <w:szCs w:val="28"/>
          <w:lang w:val="en-US"/>
        </w:rPr>
      </w:pPr>
      <w:r w:rsidRPr="00F3553B">
        <w:rPr>
          <w:color w:val="000000" w:themeColor="text1"/>
          <w:sz w:val="28"/>
          <w:szCs w:val="28"/>
          <w:lang w:val="en-US"/>
        </w:rPr>
        <w:t>Original Article</w:t>
      </w:r>
    </w:p>
    <w:p w14:paraId="5CD7235B" w14:textId="69853499" w:rsidR="009C683C" w:rsidRPr="00F3553B" w:rsidRDefault="009C683C" w:rsidP="00F3553B">
      <w:pPr>
        <w:pStyle w:val="Tnbi-Ctrl1"/>
      </w:pPr>
      <w:r w:rsidRPr="00F3553B">
        <w:t xml:space="preserve">Large-scale Deletions and Copy Number </w:t>
      </w:r>
      <w:r w:rsidRPr="00F3553B">
        <w:br/>
        <w:t xml:space="preserve">of Mitochondrial DNA in Blood </w:t>
      </w:r>
      <w:r w:rsidRPr="00F3553B">
        <w:br/>
        <w:t>of Neuromyelitis Optica Spectrum Disorder Patient</w:t>
      </w:r>
    </w:p>
    <w:p w14:paraId="44743D90" w14:textId="7059E929" w:rsidR="009C683C" w:rsidRPr="00F3553B" w:rsidRDefault="009C683C" w:rsidP="00F3553B">
      <w:pPr>
        <w:pStyle w:val="tntcgiCtrl2"/>
      </w:pPr>
      <w:r w:rsidRPr="00F3553B">
        <w:rPr>
          <w:lang w:val="vi-VN"/>
        </w:rPr>
        <w:t>Le Lan Phuong</w:t>
      </w:r>
      <w:r w:rsidRPr="00F3553B">
        <w:rPr>
          <w:vertAlign w:val="superscript"/>
        </w:rPr>
        <w:t>1</w:t>
      </w:r>
      <w:r w:rsidRPr="00F3553B">
        <w:t>, Bui Phuong Thao</w:t>
      </w:r>
      <w:r w:rsidRPr="00F3553B">
        <w:rPr>
          <w:vertAlign w:val="superscript"/>
          <w:lang w:val="vi-VN"/>
        </w:rPr>
        <w:t>1</w:t>
      </w:r>
      <w:r w:rsidRPr="00F3553B">
        <w:t>,</w:t>
      </w:r>
      <w:r w:rsidRPr="00F3553B">
        <w:rPr>
          <w:vertAlign w:val="superscript"/>
        </w:rPr>
        <w:t xml:space="preserve"> </w:t>
      </w:r>
      <w:r w:rsidRPr="00F3553B">
        <w:rPr>
          <w:lang w:val="vi-VN"/>
        </w:rPr>
        <w:t>Le Thi Thanh Nhan</w:t>
      </w:r>
      <w:r w:rsidRPr="00F3553B">
        <w:rPr>
          <w:vertAlign w:val="superscript"/>
          <w:lang w:val="vi-VN"/>
        </w:rPr>
        <w:t>1</w:t>
      </w:r>
      <w:r w:rsidRPr="00F3553B">
        <w:t xml:space="preserve">, </w:t>
      </w:r>
      <w:r w:rsidRPr="00F3553B">
        <w:rPr>
          <w:lang w:val="vi-VN"/>
        </w:rPr>
        <w:t>Nguyen Thi Lan</w:t>
      </w:r>
      <w:r w:rsidRPr="00F3553B">
        <w:rPr>
          <w:vertAlign w:val="superscript"/>
          <w:lang w:val="vi-VN"/>
        </w:rPr>
        <w:t>1</w:t>
      </w:r>
      <w:r w:rsidRPr="00F3553B">
        <w:rPr>
          <w:lang w:val="vi-VN"/>
        </w:rPr>
        <w:t>,</w:t>
      </w:r>
      <w:r w:rsidRPr="00F3553B">
        <w:t xml:space="preserve"> Nguyen Thi Tu Linh</w:t>
      </w:r>
      <w:r w:rsidRPr="00F3553B">
        <w:rPr>
          <w:vertAlign w:val="superscript"/>
          <w:lang w:val="vi-VN"/>
        </w:rPr>
        <w:t>1</w:t>
      </w:r>
      <w:r w:rsidRPr="00F3553B">
        <w:t>, Vu Hong Van</w:t>
      </w:r>
      <w:r w:rsidRPr="00F3553B">
        <w:rPr>
          <w:vertAlign w:val="superscript"/>
        </w:rPr>
        <w:t>2</w:t>
      </w:r>
      <w:r w:rsidRPr="00F3553B">
        <w:t xml:space="preserve">, </w:t>
      </w:r>
      <w:r w:rsidRPr="00F3553B">
        <w:rPr>
          <w:lang w:val="vi-VN"/>
        </w:rPr>
        <w:t>Trinh Hong Thai</w:t>
      </w:r>
      <w:r w:rsidRPr="00F3553B">
        <w:rPr>
          <w:vertAlign w:val="superscript"/>
        </w:rPr>
        <w:t>1,*</w:t>
      </w:r>
    </w:p>
    <w:p w14:paraId="3A6A9F8B" w14:textId="41A4F61E" w:rsidR="009C683C" w:rsidRPr="00F3553B" w:rsidRDefault="009C683C" w:rsidP="00F3553B">
      <w:pPr>
        <w:pStyle w:val="achctrl3"/>
      </w:pPr>
      <w:r w:rsidRPr="00F3553B">
        <w:rPr>
          <w:vertAlign w:val="superscript"/>
        </w:rPr>
        <w:t>1</w:t>
      </w:r>
      <w:r w:rsidRPr="00F3553B">
        <w:t>VNU University of Science, 334 Nguyen Trai, Thanh Xuan, Hanoi, Vietnam</w:t>
      </w:r>
    </w:p>
    <w:p w14:paraId="2777765B" w14:textId="41CAA861" w:rsidR="009C683C" w:rsidRPr="00F3553B" w:rsidRDefault="009C683C" w:rsidP="00F3553B">
      <w:pPr>
        <w:pStyle w:val="achctrl3"/>
      </w:pPr>
      <w:r w:rsidRPr="00F3553B">
        <w:rPr>
          <w:vertAlign w:val="superscript"/>
        </w:rPr>
        <w:t>2</w:t>
      </w:r>
      <w:r w:rsidRPr="00F3553B">
        <w:t>Hanoi Medical University Hospital, 1 Ton That Tung, Dong Da, Hanoi, Vietnam</w:t>
      </w:r>
    </w:p>
    <w:p w14:paraId="67BC71DE" w14:textId="34B61D55" w:rsidR="009C683C" w:rsidRPr="00F3553B" w:rsidRDefault="009C683C" w:rsidP="00F3553B">
      <w:pPr>
        <w:pStyle w:val="Ngaynhan0"/>
        <w:rPr>
          <w:i/>
          <w:color w:val="000000"/>
          <w:lang w:val="en-US"/>
        </w:rPr>
      </w:pPr>
      <w:r w:rsidRPr="00F3553B">
        <w:rPr>
          <w:rStyle w:val="Style105pt"/>
          <w:sz w:val="20"/>
          <w:szCs w:val="20"/>
          <w:lang w:val="vi-VN"/>
        </w:rPr>
        <w:t xml:space="preserve">Received </w:t>
      </w:r>
      <w:r w:rsidRPr="00F3553B">
        <w:rPr>
          <w:rStyle w:val="Style105pt"/>
          <w:sz w:val="20"/>
          <w:szCs w:val="20"/>
        </w:rPr>
        <w:t>31</w:t>
      </w:r>
      <w:r w:rsidRPr="00F3553B">
        <w:rPr>
          <w:rStyle w:val="Style105pt"/>
          <w:sz w:val="20"/>
          <w:szCs w:val="20"/>
          <w:vertAlign w:val="superscript"/>
        </w:rPr>
        <w:t>st</w:t>
      </w:r>
      <w:r w:rsidRPr="00F3553B">
        <w:rPr>
          <w:rStyle w:val="Style105pt"/>
          <w:sz w:val="20"/>
          <w:szCs w:val="20"/>
        </w:rPr>
        <w:t xml:space="preserve"> October 2024</w:t>
      </w:r>
      <w:r w:rsidRPr="00F3553B">
        <w:rPr>
          <w:rStyle w:val="Style105pt"/>
          <w:sz w:val="20"/>
          <w:szCs w:val="20"/>
          <w:lang w:val="vi-VN"/>
        </w:rPr>
        <w:br/>
        <w:t xml:space="preserve">Revised </w:t>
      </w:r>
      <w:r w:rsidR="00584E77" w:rsidRPr="00F3553B">
        <w:rPr>
          <w:rStyle w:val="Style105pt"/>
          <w:sz w:val="20"/>
          <w:szCs w:val="20"/>
        </w:rPr>
        <w:t>4</w:t>
      </w:r>
      <w:r w:rsidR="00584E77" w:rsidRPr="00F3553B">
        <w:rPr>
          <w:rStyle w:val="Style105pt"/>
          <w:sz w:val="20"/>
          <w:szCs w:val="20"/>
          <w:vertAlign w:val="superscript"/>
        </w:rPr>
        <w:t>th</w:t>
      </w:r>
      <w:r w:rsidRPr="00F3553B">
        <w:rPr>
          <w:rStyle w:val="Style105pt"/>
          <w:sz w:val="20"/>
          <w:szCs w:val="20"/>
          <w:lang w:val="vi-VN"/>
        </w:rPr>
        <w:t xml:space="preserve"> </w:t>
      </w:r>
      <w:r w:rsidRPr="00F3553B">
        <w:rPr>
          <w:rStyle w:val="Style105pt"/>
          <w:sz w:val="20"/>
          <w:szCs w:val="20"/>
        </w:rPr>
        <w:t>March</w:t>
      </w:r>
      <w:r w:rsidRPr="00F3553B">
        <w:rPr>
          <w:rStyle w:val="Style105pt"/>
          <w:sz w:val="20"/>
          <w:szCs w:val="20"/>
          <w:lang w:val="vi-VN"/>
        </w:rPr>
        <w:t xml:space="preserve"> 20</w:t>
      </w:r>
      <w:r w:rsidRPr="00F3553B">
        <w:rPr>
          <w:rStyle w:val="Style105pt"/>
          <w:sz w:val="20"/>
          <w:szCs w:val="20"/>
        </w:rPr>
        <w:t>25</w:t>
      </w:r>
      <w:r w:rsidRPr="00F3553B">
        <w:rPr>
          <w:rStyle w:val="Style105pt"/>
          <w:sz w:val="20"/>
          <w:szCs w:val="20"/>
          <w:lang w:val="vi-VN"/>
        </w:rPr>
        <w:t xml:space="preserve">; </w:t>
      </w:r>
      <w:r w:rsidRPr="00F3553B">
        <w:rPr>
          <w:rStyle w:val="Style105pt"/>
          <w:color w:val="000000"/>
          <w:sz w:val="20"/>
          <w:szCs w:val="20"/>
          <w:lang w:val="vi-VN"/>
        </w:rPr>
        <w:t>Accepted</w:t>
      </w:r>
      <w:r w:rsidRPr="00F3553B">
        <w:rPr>
          <w:rStyle w:val="Style105pt"/>
          <w:color w:val="000000"/>
          <w:sz w:val="20"/>
          <w:szCs w:val="20"/>
        </w:rPr>
        <w:t xml:space="preserve"> </w:t>
      </w:r>
      <w:r w:rsidR="00584E77" w:rsidRPr="009B6464">
        <w:rPr>
          <w:rStyle w:val="Style105pt"/>
          <w:color w:val="FFFFFF" w:themeColor="background1"/>
          <w:sz w:val="20"/>
          <w:szCs w:val="20"/>
        </w:rPr>
        <w:t>14</w:t>
      </w:r>
      <w:r w:rsidR="00584E77" w:rsidRPr="009B6464">
        <w:rPr>
          <w:rStyle w:val="Style105pt"/>
          <w:color w:val="FFFFFF" w:themeColor="background1"/>
          <w:sz w:val="20"/>
          <w:szCs w:val="20"/>
          <w:vertAlign w:val="superscript"/>
        </w:rPr>
        <w:t>th</w:t>
      </w:r>
      <w:r w:rsidRPr="009B6464">
        <w:rPr>
          <w:rStyle w:val="Style105pt"/>
          <w:color w:val="FFFFFF" w:themeColor="background1"/>
          <w:sz w:val="20"/>
          <w:szCs w:val="20"/>
        </w:rPr>
        <w:t xml:space="preserve"> </w:t>
      </w:r>
      <w:r w:rsidR="00584E77" w:rsidRPr="009B6464">
        <w:rPr>
          <w:rStyle w:val="Style105pt"/>
          <w:color w:val="FFFFFF" w:themeColor="background1"/>
          <w:sz w:val="20"/>
          <w:szCs w:val="20"/>
        </w:rPr>
        <w:t xml:space="preserve">October </w:t>
      </w:r>
      <w:r w:rsidRPr="00F3553B">
        <w:rPr>
          <w:rStyle w:val="Style105pt"/>
          <w:color w:val="000000"/>
          <w:sz w:val="20"/>
          <w:szCs w:val="20"/>
        </w:rPr>
        <w:t>2025</w:t>
      </w:r>
    </w:p>
    <w:p w14:paraId="1AE0BE13" w14:textId="2DA9E272" w:rsidR="009C683C" w:rsidRPr="00F3553B" w:rsidRDefault="009C683C" w:rsidP="00F3553B">
      <w:pPr>
        <w:pStyle w:val="tomtatctrl4"/>
      </w:pPr>
      <w:r w:rsidRPr="00F3553B">
        <w:rPr>
          <w:b/>
        </w:rPr>
        <w:t>Abstract:</w:t>
      </w:r>
      <w:r w:rsidRPr="00F3553B">
        <w:rPr>
          <w:b/>
          <w:i/>
        </w:rPr>
        <w:t xml:space="preserve"> </w:t>
      </w:r>
      <w:r w:rsidRPr="00F3553B">
        <w:t>Neuromyelitis optica spectrum disorder (NMOSD) is an autoimmune disease characterized by inflammation and demyelination in the central nervous system. Recently, researchers suggested that mitochondrial DNA (mtNDA) may be an important factor involved in the NMOSD. In this study, we determined the level of mtDNA deletions and mtDNA copy number in 45 blood samples of Vietnamese NMOSD patients using real-time PCR. The results showed that the mtDNA copy number in the group of patients with NMOSD in the age range 33-46 was lower than in the patients in other age ranges (</w:t>
      </w:r>
      <w:r w:rsidRPr="00F3553B">
        <w:rPr>
          <w:i/>
          <w:iCs/>
        </w:rPr>
        <w:t>P</w:t>
      </w:r>
      <w:r w:rsidRPr="00F3553B">
        <w:t>=0.0386). The level of mtDNA deletions and mtDNA copy number in patients with NMOSD, especially in AQP4-IgG-positive NMOSD patients, were higher than in the control group (</w:t>
      </w:r>
      <w:r w:rsidRPr="00F3553B">
        <w:rPr>
          <w:i/>
          <w:iCs/>
        </w:rPr>
        <w:t>P</w:t>
      </w:r>
      <w:r w:rsidRPr="00F3553B">
        <w:t>&lt;0.05). In addition, the study also showed that when the level of deletions &gt;61.98% and the mtDNA copy number &gt;344.30, the ROC curve model of both had an accuracy of 83.97%, showing that the level of mtDNA deletions and mtDNA copy number could be a potential biomarker of NMOSD.</w:t>
      </w:r>
    </w:p>
    <w:p w14:paraId="7B0CF57D" w14:textId="6545262F" w:rsidR="00632004" w:rsidRPr="009B6464" w:rsidRDefault="009C683C" w:rsidP="00F3553B">
      <w:pPr>
        <w:pStyle w:val="tomtatctrl4"/>
        <w:spacing w:before="120" w:after="0"/>
        <w:sectPr w:rsidR="00632004" w:rsidRPr="009B6464" w:rsidSect="005D19FF">
          <w:headerReference w:type="even" r:id="rId9"/>
          <w:headerReference w:type="default" r:id="rId10"/>
          <w:headerReference w:type="first" r:id="rId11"/>
          <w:footerReference w:type="first" r:id="rId12"/>
          <w:pgSz w:w="11907" w:h="16840" w:code="9"/>
          <w:pgMar w:top="2041" w:right="1418" w:bottom="2438" w:left="1418" w:header="1531" w:footer="2098" w:gutter="0"/>
          <w:pgNumType w:start="1"/>
          <w:cols w:space="720"/>
          <w:titlePg/>
          <w:docGrid w:linePitch="360"/>
        </w:sectPr>
      </w:pPr>
      <w:r w:rsidRPr="009B6464">
        <w:rPr>
          <w:i/>
        </w:rPr>
        <w:t xml:space="preserve">Keywords: </w:t>
      </w:r>
      <w:r w:rsidRPr="009B6464">
        <w:t>mtDNA, NMOSD, level of deletions, copy number of mtDNA.</w:t>
      </w:r>
      <w:r w:rsidR="00632004" w:rsidRPr="009B6464">
        <w:rPr>
          <w:rStyle w:val="FootnoteReference"/>
          <w:color w:val="FFFFFF" w:themeColor="background1"/>
        </w:rPr>
        <w:footnoteReference w:customMarkFollows="1" w:id="1"/>
        <w:t>*</w:t>
      </w:r>
    </w:p>
    <w:p w14:paraId="3B32B3EC" w14:textId="77777777" w:rsidR="00632004" w:rsidRPr="00F3553B" w:rsidRDefault="00632004" w:rsidP="00F3553B">
      <w:pPr>
        <w:pStyle w:val="Style46"/>
        <w:rPr>
          <w:lang w:val="en-US"/>
        </w:rPr>
        <w:sectPr w:rsidR="00632004" w:rsidRPr="00F3553B" w:rsidSect="005D19FF">
          <w:type w:val="continuous"/>
          <w:pgSz w:w="11907" w:h="16840" w:code="9"/>
          <w:pgMar w:top="2041" w:right="1418" w:bottom="2438" w:left="1418" w:header="1531" w:footer="2098" w:gutter="0"/>
          <w:cols w:space="567"/>
          <w:titlePg/>
          <w:docGrid w:linePitch="360"/>
        </w:sectPr>
      </w:pPr>
    </w:p>
    <w:p w14:paraId="64974887" w14:textId="64AE26BD" w:rsidR="009C683C" w:rsidRPr="00F3553B" w:rsidRDefault="009C683C" w:rsidP="00F3553B">
      <w:pPr>
        <w:pStyle w:val="Tnbi-Ctrl1"/>
        <w:rPr>
          <w:lang w:val="pt-BR"/>
        </w:rPr>
      </w:pPr>
      <w:r w:rsidRPr="00F3553B">
        <w:rPr>
          <w:lang w:val="pt-BR"/>
        </w:rPr>
        <w:lastRenderedPageBreak/>
        <w:t xml:space="preserve">Mức độ mất đoạn lớn và số bản sao DNA ty thể </w:t>
      </w:r>
      <w:r w:rsidR="00584E77" w:rsidRPr="00F3553B">
        <w:rPr>
          <w:lang w:val="pt-BR"/>
        </w:rPr>
        <w:br/>
      </w:r>
      <w:r w:rsidRPr="00F3553B">
        <w:rPr>
          <w:lang w:val="pt-BR"/>
        </w:rPr>
        <w:t>trong máu của bệnh nhân mắc phổ bệnh viêm tủy thị thần kinh</w:t>
      </w:r>
    </w:p>
    <w:p w14:paraId="1AC65DDA" w14:textId="643C6493" w:rsidR="009C683C" w:rsidRPr="00F3553B" w:rsidRDefault="009C683C" w:rsidP="00F3553B">
      <w:pPr>
        <w:pStyle w:val="tntcgiCtrl2"/>
        <w:rPr>
          <w:lang w:val="pt-BR"/>
        </w:rPr>
      </w:pPr>
      <w:r w:rsidRPr="00F3553B">
        <w:rPr>
          <w:lang w:val="vi-VN"/>
        </w:rPr>
        <w:t>Lê Lan Phương</w:t>
      </w:r>
      <w:r w:rsidRPr="00F3553B">
        <w:rPr>
          <w:vertAlign w:val="superscript"/>
          <w:lang w:val="pt-BR"/>
        </w:rPr>
        <w:t>1</w:t>
      </w:r>
      <w:r w:rsidRPr="00F3553B">
        <w:rPr>
          <w:lang w:val="pt-BR"/>
        </w:rPr>
        <w:t>, Bùi Phương Thảo</w:t>
      </w:r>
      <w:r w:rsidRPr="00F3553B">
        <w:rPr>
          <w:vertAlign w:val="superscript"/>
          <w:lang w:val="pt-BR"/>
        </w:rPr>
        <w:t>1</w:t>
      </w:r>
      <w:r w:rsidRPr="00F3553B">
        <w:rPr>
          <w:lang w:val="pt-BR"/>
        </w:rPr>
        <w:t xml:space="preserve">, </w:t>
      </w:r>
      <w:r w:rsidRPr="00F3553B">
        <w:rPr>
          <w:lang w:val="vi-VN"/>
        </w:rPr>
        <w:t>Lê Thị Thanh Nhàn</w:t>
      </w:r>
      <w:r w:rsidRPr="00F3553B">
        <w:rPr>
          <w:vertAlign w:val="superscript"/>
          <w:lang w:val="vi-VN"/>
        </w:rPr>
        <w:t>1</w:t>
      </w:r>
      <w:r w:rsidRPr="00F3553B">
        <w:rPr>
          <w:lang w:val="pt-BR"/>
        </w:rPr>
        <w:t xml:space="preserve">, </w:t>
      </w:r>
      <w:r w:rsidRPr="00F3553B">
        <w:rPr>
          <w:lang w:val="vi-VN"/>
        </w:rPr>
        <w:t>Nguyễn Thị Lan</w:t>
      </w:r>
      <w:r w:rsidRPr="00F3553B">
        <w:rPr>
          <w:vertAlign w:val="superscript"/>
          <w:lang w:val="vi-VN"/>
        </w:rPr>
        <w:t>1</w:t>
      </w:r>
      <w:r w:rsidRPr="00F3553B">
        <w:rPr>
          <w:lang w:val="vi-VN"/>
        </w:rPr>
        <w:t xml:space="preserve">, </w:t>
      </w:r>
      <w:r w:rsidRPr="00F3553B">
        <w:rPr>
          <w:lang w:val="pt-BR"/>
        </w:rPr>
        <w:t>Nguyễn Thị Tú Linh</w:t>
      </w:r>
      <w:r w:rsidRPr="00F3553B">
        <w:rPr>
          <w:vertAlign w:val="superscript"/>
          <w:lang w:val="pt-BR"/>
        </w:rPr>
        <w:t>1</w:t>
      </w:r>
      <w:r w:rsidRPr="00F3553B">
        <w:rPr>
          <w:lang w:val="pt-BR"/>
        </w:rPr>
        <w:t>, Vũ Hồng Vân</w:t>
      </w:r>
      <w:r w:rsidRPr="00F3553B">
        <w:rPr>
          <w:vertAlign w:val="superscript"/>
          <w:lang w:val="pt-BR"/>
        </w:rPr>
        <w:t>2</w:t>
      </w:r>
      <w:r w:rsidRPr="00F3553B">
        <w:rPr>
          <w:lang w:val="pt-BR"/>
        </w:rPr>
        <w:t xml:space="preserve">, </w:t>
      </w:r>
      <w:r w:rsidRPr="00F3553B">
        <w:rPr>
          <w:lang w:val="vi-VN"/>
        </w:rPr>
        <w:t>Trịnh Hồng Thái</w:t>
      </w:r>
      <w:r w:rsidRPr="00F3553B">
        <w:rPr>
          <w:vertAlign w:val="superscript"/>
          <w:lang w:val="pt-BR"/>
        </w:rPr>
        <w:t>1,*</w:t>
      </w:r>
    </w:p>
    <w:p w14:paraId="394D1E4D" w14:textId="6B230280" w:rsidR="009C683C" w:rsidRPr="00F3553B" w:rsidRDefault="009C683C" w:rsidP="00F3553B">
      <w:pPr>
        <w:pStyle w:val="achctrl3"/>
        <w:rPr>
          <w:lang w:val="pt-BR"/>
        </w:rPr>
      </w:pPr>
      <w:r w:rsidRPr="00F3553B">
        <w:rPr>
          <w:vertAlign w:val="superscript"/>
          <w:lang w:val="pt-BR"/>
        </w:rPr>
        <w:t>1</w:t>
      </w:r>
      <w:r w:rsidRPr="00F3553B">
        <w:rPr>
          <w:lang w:val="pt-BR"/>
        </w:rPr>
        <w:t>Trường Đại học Khoa học Tự nhiên, 334 Nguyễn Trãi, Thanh Xuân, Hà Nội, Việt Nam</w:t>
      </w:r>
    </w:p>
    <w:p w14:paraId="470B42DF" w14:textId="54DF43A4" w:rsidR="009C683C" w:rsidRPr="00F3553B" w:rsidRDefault="009C683C" w:rsidP="00F3553B">
      <w:pPr>
        <w:pStyle w:val="achctrl3"/>
        <w:rPr>
          <w:lang w:val="pt-BR"/>
        </w:rPr>
      </w:pPr>
      <w:r w:rsidRPr="00F3553B">
        <w:rPr>
          <w:vertAlign w:val="superscript"/>
          <w:lang w:val="pt-BR"/>
        </w:rPr>
        <w:t>2</w:t>
      </w:r>
      <w:r w:rsidRPr="00F3553B">
        <w:rPr>
          <w:lang w:val="pt-BR"/>
        </w:rPr>
        <w:t>Bệnh viện Đại học Y Hà Nội, 1 Tôn Thất Tùng, Đống Đa, Hà Nội, Việt Nam</w:t>
      </w:r>
    </w:p>
    <w:p w14:paraId="4EE7AB1D" w14:textId="768A01E9" w:rsidR="009C683C" w:rsidRPr="00F3553B" w:rsidRDefault="009C683C" w:rsidP="00F3553B">
      <w:pPr>
        <w:pStyle w:val="Ngaynhan0"/>
        <w:rPr>
          <w:i/>
          <w:lang w:val="pt-BR"/>
        </w:rPr>
      </w:pPr>
      <w:r w:rsidRPr="00F3553B">
        <w:t xml:space="preserve">Nhận ngày </w:t>
      </w:r>
      <w:r w:rsidR="00584E77" w:rsidRPr="00F3553B">
        <w:rPr>
          <w:lang w:val="pt-BR"/>
        </w:rPr>
        <w:t>31</w:t>
      </w:r>
      <w:r w:rsidRPr="00F3553B">
        <w:t xml:space="preserve"> tháng </w:t>
      </w:r>
      <w:r w:rsidR="00584E77" w:rsidRPr="00F3553B">
        <w:rPr>
          <w:lang w:val="pt-BR"/>
        </w:rPr>
        <w:t>10</w:t>
      </w:r>
      <w:r w:rsidRPr="00F3553B">
        <w:t xml:space="preserve"> năm 202</w:t>
      </w:r>
      <w:r w:rsidR="00584E77" w:rsidRPr="00F3553B">
        <w:rPr>
          <w:lang w:val="pt-BR"/>
        </w:rPr>
        <w:t>4</w:t>
      </w:r>
      <w:r w:rsidRPr="00F3553B">
        <w:br/>
        <w:t>Chỉnh sửa ngày 0</w:t>
      </w:r>
      <w:r w:rsidR="00584E77" w:rsidRPr="00F3553B">
        <w:rPr>
          <w:lang w:val="pt-BR"/>
        </w:rPr>
        <w:t>4</w:t>
      </w:r>
      <w:r w:rsidRPr="00F3553B">
        <w:t xml:space="preserve"> tháng </w:t>
      </w:r>
      <w:r w:rsidR="00584E77" w:rsidRPr="00F3553B">
        <w:rPr>
          <w:lang w:val="pt-BR"/>
        </w:rPr>
        <w:t>3</w:t>
      </w:r>
      <w:r w:rsidRPr="00F3553B">
        <w:t xml:space="preserve"> năm 202</w:t>
      </w:r>
      <w:r w:rsidR="00584E77" w:rsidRPr="00F3553B">
        <w:rPr>
          <w:lang w:val="pt-BR"/>
        </w:rPr>
        <w:t>5</w:t>
      </w:r>
      <w:r w:rsidRPr="00F3553B">
        <w:t xml:space="preserve">; Chấp nhận đăng ngày </w:t>
      </w:r>
      <w:bookmarkStart w:id="0" w:name="_GoBack"/>
      <w:r w:rsidR="00584E77" w:rsidRPr="009B6464">
        <w:rPr>
          <w:color w:val="FFFFFF" w:themeColor="background1"/>
          <w:lang w:val="pt-BR"/>
        </w:rPr>
        <w:t>14</w:t>
      </w:r>
      <w:r w:rsidRPr="009B6464">
        <w:rPr>
          <w:color w:val="FFFFFF" w:themeColor="background1"/>
        </w:rPr>
        <w:t xml:space="preserve"> tháng </w:t>
      </w:r>
      <w:r w:rsidR="00584E77" w:rsidRPr="009B6464">
        <w:rPr>
          <w:color w:val="FFFFFF" w:themeColor="background1"/>
          <w:lang w:val="pt-BR"/>
        </w:rPr>
        <w:t>10</w:t>
      </w:r>
      <w:r w:rsidRPr="009B6464">
        <w:rPr>
          <w:color w:val="FFFFFF" w:themeColor="background1"/>
        </w:rPr>
        <w:t xml:space="preserve"> </w:t>
      </w:r>
      <w:bookmarkEnd w:id="0"/>
      <w:r w:rsidRPr="00F3553B">
        <w:t>năm 202</w:t>
      </w:r>
      <w:r w:rsidR="00584E77" w:rsidRPr="00F3553B">
        <w:rPr>
          <w:lang w:val="pt-BR"/>
        </w:rPr>
        <w:t>5</w:t>
      </w:r>
    </w:p>
    <w:p w14:paraId="2D0CD53C" w14:textId="77777777" w:rsidR="009C683C" w:rsidRPr="00F3553B" w:rsidRDefault="009C683C" w:rsidP="00F3553B">
      <w:pPr>
        <w:keepNext/>
        <w:pBdr>
          <w:top w:val="nil"/>
          <w:left w:val="nil"/>
          <w:bottom w:val="nil"/>
          <w:right w:val="nil"/>
          <w:between w:val="nil"/>
        </w:pBdr>
        <w:spacing w:after="60" w:line="240" w:lineRule="auto"/>
        <w:ind w:left="567" w:right="567"/>
        <w:jc w:val="both"/>
        <w:rPr>
          <w:rFonts w:ascii="Times New Roman" w:eastAsia="Times New Roman" w:hAnsi="Times New Roman" w:cs="Times New Roman"/>
          <w:color w:val="000000"/>
          <w:sz w:val="20"/>
          <w:szCs w:val="20"/>
          <w:lang w:val="pt-BR"/>
        </w:rPr>
      </w:pPr>
      <w:r w:rsidRPr="00F3553B">
        <w:rPr>
          <w:rFonts w:ascii="Times New Roman" w:eastAsia="Times New Roman" w:hAnsi="Times New Roman" w:cs="Times New Roman"/>
          <w:b/>
          <w:color w:val="000000"/>
          <w:sz w:val="20"/>
          <w:szCs w:val="20"/>
          <w:lang w:val="pt-BR"/>
        </w:rPr>
        <w:t>Tóm tắt:</w:t>
      </w:r>
      <w:r w:rsidRPr="00F3553B">
        <w:rPr>
          <w:rFonts w:ascii="Times New Roman" w:eastAsia="Times New Roman" w:hAnsi="Times New Roman" w:cs="Times New Roman"/>
          <w:b/>
          <w:i/>
          <w:color w:val="000000"/>
          <w:sz w:val="20"/>
          <w:szCs w:val="20"/>
          <w:lang w:val="pt-BR"/>
        </w:rPr>
        <w:t xml:space="preserve"> </w:t>
      </w:r>
      <w:r w:rsidRPr="00F3553B">
        <w:rPr>
          <w:rFonts w:ascii="Times New Roman" w:eastAsia="Times New Roman" w:hAnsi="Times New Roman" w:cs="Times New Roman"/>
          <w:color w:val="000000"/>
          <w:sz w:val="20"/>
          <w:szCs w:val="20"/>
          <w:lang w:val="pt-BR"/>
        </w:rPr>
        <w:t>Phổ bệnh viêm tủy thị thần kinh (NMOSD) là bệnh tự miễn được đặc trưng bởi viêm và thoái hóa mylein ở hệ thần kinh trung ương. Gần đây, các nhà nghiên cứu cho rằng DNA ty thể (mtNDA) có thể là yếu tố quan trọng liên quan đến bệnh NMOSD. Trong nhiên cứu này, chúng tôi đã xác định mức độ mất đoạn lớn và số bản sao mtDNA ở 45 mẫu máu của bệnh nhân NMOSD người Việt Nam bằng phương pháp PCR định lượng. Kết quả cho thấy số bản sao mtDNA ở nhóm bệnh nhân mắc NMOSD trong khoảng tuổi 33-46 thấp hơn ở những bệnh nhân thuộc khoảng tuổi khác (</w:t>
      </w:r>
      <w:r w:rsidRPr="00F3553B">
        <w:rPr>
          <w:rFonts w:ascii="Times New Roman" w:eastAsia="Times New Roman" w:hAnsi="Times New Roman" w:cs="Times New Roman"/>
          <w:i/>
          <w:color w:val="000000"/>
          <w:sz w:val="20"/>
          <w:szCs w:val="20"/>
          <w:lang w:val="pt-BR"/>
        </w:rPr>
        <w:t>P</w:t>
      </w:r>
      <w:r w:rsidRPr="00F3553B">
        <w:rPr>
          <w:rFonts w:ascii="Times New Roman" w:eastAsia="Times New Roman" w:hAnsi="Times New Roman" w:cs="Times New Roman"/>
          <w:color w:val="000000"/>
          <w:sz w:val="20"/>
          <w:szCs w:val="20"/>
          <w:lang w:val="pt-BR"/>
        </w:rPr>
        <w:t>=0,0386). Mức độ mất đoạn lớn và số bản sao mtDNA ở bệnh NMOSD, đặc biệt là ở bệnh nhân NMOSD dương tính với kháng thể kháng Aquaporin4 (AQP4-IgG) đều cao hơn so với nhóm đối chứng bình thường (</w:t>
      </w:r>
      <w:r w:rsidRPr="00F3553B">
        <w:rPr>
          <w:rFonts w:ascii="Times New Roman" w:eastAsia="Times New Roman" w:hAnsi="Times New Roman" w:cs="Times New Roman"/>
          <w:i/>
          <w:color w:val="000000"/>
          <w:sz w:val="20"/>
          <w:szCs w:val="20"/>
          <w:lang w:val="pt-BR"/>
        </w:rPr>
        <w:t>P</w:t>
      </w:r>
      <w:r w:rsidRPr="00F3553B">
        <w:rPr>
          <w:rFonts w:ascii="Times New Roman" w:eastAsia="Times New Roman" w:hAnsi="Times New Roman" w:cs="Times New Roman"/>
          <w:color w:val="000000"/>
          <w:sz w:val="20"/>
          <w:szCs w:val="20"/>
          <w:lang w:val="pt-BR"/>
        </w:rPr>
        <w:t>&lt;0,05). Ngoài ra, nghiên cứu còn cho thấy khi mức độ mất đoạn &gt;61,98% và số bản sao mtDNA &gt;344,30 thì mô hình đường cong ROC của cả hai có khả năng phân biệt tình trạng bệnh đạt đến 83,97%, cho thấy mức độ mất đoạn lớn và số bản sao mtDNA có thể trở thành chỉ thị sinh học tiềm năng trong hỗ trợ chẩn đoán NMOSD.</w:t>
      </w:r>
    </w:p>
    <w:p w14:paraId="5BD0F8BF" w14:textId="77777777" w:rsidR="009C683C" w:rsidRPr="00F3553B" w:rsidRDefault="009C683C" w:rsidP="00F3553B">
      <w:pPr>
        <w:pStyle w:val="tomtatctrl4"/>
        <w:spacing w:before="120" w:after="480"/>
        <w:rPr>
          <w:lang w:val="pt-BR"/>
        </w:rPr>
      </w:pPr>
      <w:r w:rsidRPr="00F3553B">
        <w:rPr>
          <w:i/>
          <w:lang w:val="pt-BR"/>
        </w:rPr>
        <w:t>Từ khóa:</w:t>
      </w:r>
      <w:r w:rsidRPr="00F3553B">
        <w:rPr>
          <w:b/>
          <w:lang w:val="pt-BR"/>
        </w:rPr>
        <w:t xml:space="preserve"> </w:t>
      </w:r>
      <w:r w:rsidRPr="00F3553B">
        <w:rPr>
          <w:lang w:val="pt-BR"/>
        </w:rPr>
        <w:t>DNA ty thể, NMOSD, mức độ mất đoạn lớn mtDNA, số bản sao mtDNA.</w:t>
      </w:r>
    </w:p>
    <w:p w14:paraId="19665330" w14:textId="77777777" w:rsidR="003E1EF7" w:rsidRPr="00F3553B" w:rsidRDefault="003E1EF7" w:rsidP="00F3553B">
      <w:pPr>
        <w:pStyle w:val="modauctri5"/>
        <w:rPr>
          <w:lang w:val="pt-BR"/>
        </w:rPr>
        <w:sectPr w:rsidR="003E1EF7" w:rsidRPr="00F3553B" w:rsidSect="008C041A">
          <w:headerReference w:type="even" r:id="rId13"/>
          <w:headerReference w:type="default" r:id="rId14"/>
          <w:footerReference w:type="even" r:id="rId15"/>
          <w:footerReference w:type="default" r:id="rId16"/>
          <w:headerReference w:type="first" r:id="rId17"/>
          <w:footerReference w:type="first" r:id="rId18"/>
          <w:pgSz w:w="11907" w:h="16840" w:code="9"/>
          <w:pgMar w:top="2041" w:right="1418" w:bottom="2438" w:left="1418" w:header="1531" w:footer="2098" w:gutter="0"/>
          <w:cols w:space="567"/>
          <w:docGrid w:linePitch="360"/>
        </w:sectPr>
      </w:pPr>
    </w:p>
    <w:p w14:paraId="60AC7A27" w14:textId="58CF07AD" w:rsidR="009C683C" w:rsidRPr="00F3553B" w:rsidRDefault="009C683C" w:rsidP="00F3553B">
      <w:pPr>
        <w:pStyle w:val="modauctri5"/>
        <w:spacing w:before="0"/>
        <w:rPr>
          <w:rStyle w:val="Hyperlink"/>
          <w:color w:val="FF0000"/>
          <w:lang w:val="pt-BR"/>
        </w:rPr>
      </w:pPr>
      <w:r w:rsidRPr="00F3553B">
        <w:rPr>
          <w:lang w:val="pt-BR"/>
        </w:rPr>
        <w:lastRenderedPageBreak/>
        <w:t>1. Mở đầu</w:t>
      </w:r>
      <w:r w:rsidRPr="00F3553B">
        <w:rPr>
          <w:rStyle w:val="FootnoteReference"/>
          <w:color w:val="FFFFFF" w:themeColor="background1"/>
          <w:lang w:val="pt-BR"/>
        </w:rPr>
        <w:footnoteReference w:customMarkFollows="1" w:id="2"/>
        <w:t>*</w:t>
      </w:r>
    </w:p>
    <w:p w14:paraId="6EF74910" w14:textId="0AC3DCFE" w:rsidR="009C683C" w:rsidRPr="00F3553B" w:rsidRDefault="009C683C" w:rsidP="00F3553B">
      <w:pPr>
        <w:pStyle w:val="noidungctrla"/>
        <w:rPr>
          <w:lang w:val="de-DE"/>
        </w:rPr>
      </w:pPr>
      <w:r w:rsidRPr="00F3553B">
        <w:rPr>
          <w:lang w:val="pt-BR"/>
        </w:rPr>
        <w:t xml:space="preserve">Phổ bệnh viêm tủy thị thần kinh (Neuromyelitis optica spectrum disorder-NMOSD) là thuật ngữ được sử dụng để gọi bệnh viêm tủy thị thần kinh, bệnh viêm dây thần kinh thị giác với các biểu hiện ở tủy sống và các rối loạn thần kinh khác liên quan đến kháng thể kháng Aquaporin4 (AQP4-IgG) </w:t>
      </w:r>
      <w:r w:rsidRPr="00F3553B">
        <w:rPr>
          <w:lang w:val="pt-BR"/>
        </w:rPr>
        <w:fldChar w:fldCharType="begin" w:fldLock="1"/>
      </w:r>
      <w:r w:rsidRPr="00F3553B">
        <w:rPr>
          <w:lang w:val="pt-BR"/>
        </w:rPr>
        <w:instrText>ADDIN CSL_CITATION {"citationItems":[{"id":"ITEM-1","itemData":{"DOI":"10.1212/WNL.0000000000001729","ISSN":"0028-3878","author":[{"dropping-particle":"","family":"Wingerchuk","given":"Dean M.","non-dropping-particle":"","parse-names":false,"suffix":""},{"dropping-particle":"","family":"Banwell","given":"Brenda","non-dropping-particle":"","parse-names":false,"suffix":""},{"dropping-particle":"","family":"Bennett","given":"Jeffrey L.","non-dropping-particle":"","parse-names":false,"suffix":""},{"dropping-particle":"","family":"Cabre","given":"Philippe","non-dropping-particle":"","parse-names":false,"suffix":""},{"dropping-particle":"","family":"Carroll","given":"William","non-dropping-particle":"","parse-names":false,"suffix":""},{"dropping-particle":"","family":"Chitnis","given":"Tanuja","non-dropping-particle":"","parse-names":false,"suffix":""},{"dropping-particle":"","family":"Seze","given":"Jérôme","non-dropping-particle":"de","parse-names":false,"suffix":""},{"dropping-particle":"","family":"Fujihara","given":"Kazuo","non-dropping-particle":"","parse-names":false,"suffix":""},{"dropping-particle":"","family":"Greenberg","given":"Benjamin","non-dropping-particle":"","parse-names":false,"suffix":""},{"dropping-particle":"","family":"Jacob","given":"Anu","non-dropping-particle":"","parse-names":false,"suffix":""},{"dropping-particle":"","family":"Jarius","given":"Sven","non-dropping-particle":"","parse-names":false,"suffix":""},{"dropping-particle":"","family":"Lana-Peixoto","given":"Marco","non-dropping-particle":"","parse-names":false,"suffix":""},{"dropping-particle":"","family":"Levy","given":"Michael","non-dropping-particle":"","parse-names":false,"suffix":""},{"dropping-particle":"","family":"Simon","given":"Jack H.","non-dropping-particle":"","parse-names":false,"suffix":""},{"dropping-particle":"","family":"Tenembaum","given":"Silvia","non-dropping-particle":"","parse-names":false,"suffix":""},{"dropping-particle":"","family":"Traboulsee","given":"Anthony L.","non-dropping-particle":"","parse-names":false,"suffix":""},{"dropping-particle":"","family":"Waters","given":"Patrick","non-dropping-particle":"","parse-names":false,"suffix":""},{"dropping-particle":"","family":"Wellik","given":"Kay E.","non-dropping-particle":"","parse-names":false,"suffix":""},{"dropping-particle":"","family":"Weinshenker","given":"Brian G.","non-dropping-particle":"","parse-names":false,"suffix":""}],"container-title":"Neurology","id":"ITEM-1","issue":"2","issued":{"date-parts":[["2015","7","14"]]},"page":"177-189","title":"International consensus diagnostic criteria for neuromyelitis optica spectrum disorders","type":"article-journal","volume":"85"},"uris":["http://www.mendeley.com/documents/?uuid=8e796d30-cdf2-42f7-97a6-8b0b93bc101d"]}],"mendeley":{"formattedCitation":"[1]","plainTextFormattedCitation":"[1]","previouslyFormattedCitation":"[1]"},"properties":{"noteIndex":0},"schema":"https://github.com/citation-style-language/schema/raw/master/csl-citation.json"}</w:instrText>
      </w:r>
      <w:r w:rsidRPr="00F3553B">
        <w:rPr>
          <w:lang w:val="pt-BR"/>
        </w:rPr>
        <w:fldChar w:fldCharType="separate"/>
      </w:r>
      <w:r w:rsidRPr="00F3553B">
        <w:rPr>
          <w:noProof/>
          <w:lang w:val="pt-BR"/>
        </w:rPr>
        <w:t>[1]</w:t>
      </w:r>
      <w:r w:rsidRPr="00F3553B">
        <w:fldChar w:fldCharType="end"/>
      </w:r>
      <w:r w:rsidRPr="00F3553B">
        <w:rPr>
          <w:lang w:val="pt-BR"/>
        </w:rPr>
        <w:t>. Trên thế giới, NMOSD có tỷ lệ phổ biến dao động từ 0,053-0,4/100.000 dân số, tỷ lệ mắc bệnh từ 0,52-4,4/100.000 người với tuổi khởi ph</w:t>
      </w:r>
      <w:r w:rsidR="003E1EF7" w:rsidRPr="00F3553B">
        <w:rPr>
          <w:lang w:val="pt-BR"/>
        </w:rPr>
        <w:t xml:space="preserve">át bệnh trung bình từ 32,6-45,7 </w:t>
      </w:r>
      <w:r w:rsidRPr="00F3553B">
        <w:rPr>
          <w:lang w:val="pt-BR"/>
        </w:rPr>
        <w:t xml:space="preserve">tuổi và tỷ lệ nam:nữ thường là 1:3 </w:t>
      </w:r>
      <w:r w:rsidRPr="00F3553B">
        <w:rPr>
          <w:lang w:val="de-DE"/>
        </w:rPr>
        <w:fldChar w:fldCharType="begin" w:fldLock="1"/>
      </w:r>
      <w:r w:rsidRPr="00F3553B">
        <w:rPr>
          <w:lang w:val="de-DE"/>
        </w:rPr>
        <w:instrText>ADDIN CSL_CITATION {"citationItems":[{"id":"ITEM-1","itemData":{"DOI":"10.1177/1352458515572406","author":[{"dropping-particle":"","family":"Pandit","given":"L","non-dropping-particle":"","parse-names":false,"suffix":""},{"dropping-particle":"","family":"Asgari","given":"N","non-dropping-particle":"","parse-names":false,"suffix":""},{"dropping-particle":"","family":"Apiwattanakul","given":"M","non-dropping-particle":"","parse-names":false,"suffix":""},{"dropping-particle":"","family":"Palace","given":"J","non-dropping-particle":"","parse-names":false,"suffix":""},{"dropping-particle":"","family":"Paul","given":"F","non-dropping-particle":"","parse-names":false,"suffix":""},{"dropping-particle":"","family":"Mi","given":"Leite","non-dropping-particle":"","parse-names":false,"suffix":""},{"dropping-particle":"","family":"Kleiter","given":"I","non-dropping-particle":"","parse-names":false,"suffix":""},{"dropping-particle":"","family":"Chitnis","given":"T","non-dropping-particle":"","parse-names":false,"suffix":""}],"id":"ITEM-1","issued":{"date-parts":[["2015"]]},"page":"845-853","title":"Demographic and clinical features of neuromyelitis optica : A review","type":"article-journal"},"uris":["http://www.mendeley.com/documents/?uuid=c26efbf8-1552-48cb-ab60-b39b376d1a9e"]}],"mendeley":{"formattedCitation":"[2]","plainTextFormattedCitation":"[2]","previouslyFormattedCitation":"[2]"},"properties":{"noteIndex":0},"schema":"https://github.com/citation-style-language/schema/raw/master/csl-citation.json"}</w:instrText>
      </w:r>
      <w:r w:rsidRPr="00F3553B">
        <w:rPr>
          <w:lang w:val="de-DE"/>
        </w:rPr>
        <w:fldChar w:fldCharType="separate"/>
      </w:r>
      <w:r w:rsidRPr="00F3553B">
        <w:rPr>
          <w:noProof/>
          <w:lang w:val="de-DE"/>
        </w:rPr>
        <w:t>[2]</w:t>
      </w:r>
      <w:r w:rsidRPr="00F3553B">
        <w:fldChar w:fldCharType="end"/>
      </w:r>
      <w:r w:rsidRPr="00F3553B">
        <w:rPr>
          <w:lang w:val="pt-BR"/>
        </w:rPr>
        <w:t>. Tại Việt Nam, h</w:t>
      </w:r>
      <w:r w:rsidRPr="00F3553B">
        <w:rPr>
          <w:lang w:val="vi-VN"/>
        </w:rPr>
        <w:t xml:space="preserve">iện chưa có dữ </w:t>
      </w:r>
      <w:r w:rsidRPr="00F3553B">
        <w:rPr>
          <w:lang w:val="vi-VN"/>
        </w:rPr>
        <w:lastRenderedPageBreak/>
        <w:t xml:space="preserve">liệu nào </w:t>
      </w:r>
      <w:r w:rsidRPr="00F3553B">
        <w:rPr>
          <w:lang w:val="pt-BR"/>
        </w:rPr>
        <w:t>công bố</w:t>
      </w:r>
      <w:r w:rsidRPr="00F3553B">
        <w:rPr>
          <w:lang w:val="vi-VN"/>
        </w:rPr>
        <w:t xml:space="preserve"> tỷ lệ </w:t>
      </w:r>
      <w:r w:rsidRPr="00F3553B">
        <w:rPr>
          <w:lang w:val="de-DE"/>
        </w:rPr>
        <w:t xml:space="preserve">mắc và tỷ lệ </w:t>
      </w:r>
      <w:r w:rsidRPr="00F3553B">
        <w:rPr>
          <w:lang w:val="vi-VN"/>
        </w:rPr>
        <w:t>lưu hành</w:t>
      </w:r>
      <w:r w:rsidRPr="00F3553B">
        <w:rPr>
          <w:lang w:val="pt-BR"/>
        </w:rPr>
        <w:t xml:space="preserve"> bệnh, tuy nhiên, các báo cáo gần đây chỉ ra độ tuổi khởi phát ở bệnh nhân NMOSD người Việt Nam được cho là 30-49 tuổi với tỷ lệ giới tính nam:nữ khoảng 1:4 </w:t>
      </w:r>
      <w:r w:rsidRPr="00F3553B">
        <w:rPr>
          <w:lang w:val="de-DE"/>
        </w:rPr>
        <w:fldChar w:fldCharType="begin" w:fldLock="1"/>
      </w:r>
      <w:r w:rsidRPr="00F3553B">
        <w:rPr>
          <w:lang w:val="de-DE"/>
        </w:rPr>
        <w:instrText>ADDIN CSL_CITATION {"citationItems":[{"id":"ITEM-1","itemData":{"DOI":"10.51298/vmj.v520i1.3778","ISSN":"1859-1868","abstract":"Mục tiêu: Mô tả đặc điểm lâm sàng của phổ bệnh viêm tủy thị thần kinh (NMOSD). Đối tượng và phương pháp: nghiên cứu 42 bệnh nhân được điều trị tại trung tâm Thần kinh bệnh viện Bạch Mai và được chẩn đoán xác định NMOSD. Kết quả: Bệnh chủ yếu gặp nữ giới (80,1%), tỉ lệ nữ/ nam ≈ 4:1. Tuổi khởi phát trung bình: 36,3 ± 12,1. Bệnh kèm thêm các bệnh tự miễn khác 15,2%. Có 90,5% bệnh nhân tái phát bệnh. Triệu chứng thường gặp: giảm thị lực 2 bên 45,2 %, liệt vận động và rối loạn cảm giác gặp 90,5%, rối loạn tiểu tiện 66,7%, ngoài ra triệu chứng gặp tỷ lệ thấp hơn như cơn co cứng tăng trương lực cơ 19%, tổn thương tiểu não 14,2%, liệt dây thần kinh sọ não 19%, nôn, nấc 23.8%. Bệnh nhân được chẩn đoán NMOSD dựa trên xét nghiệm kháng thể kháng aquaporin 4 với có tổn thương viêm tủy cấp và viêm thị thần kinh 83,3%, tổn thương khu vực gây nôn 11,9%, hội chứng thân não/tiểu não 14,3%, viêm thị thần kinh đơn thuần 4,8%, hội chứng khu vực gian não 4,8%. Kết luận: Triệu chứng lâm sàng tương ứng với những tổn thương tủy sống cấp tính, viêm thị thần kinh, ngoài ra còn gặp tổn thương ở thân não, gian não và não bán cầu.","author":[{"dropping-particle":"","family":"Văn Tuận","given":"Nguyễn","non-dropping-particle":"","parse-names":false,"suffix":""},{"dropping-particle":"","family":"Văn Sỹ","given":"Nguyễn","non-dropping-particle":"","parse-names":false,"suffix":""}],"container-title":"Tạp chí Y học Việt Nam","id":"ITEM-1","issue":"1A","issued":{"date-parts":[["2022","12","28"]]},"page":"1-6","title":"ĐẶC ĐIỂM LÂM SÀNG CỦA PHỔ BỆNH VIÊM TỦY THỊ THẦN KINH","type":"article-journal","volume":"520"},"uris":["http://www.mendeley.com/documents/?uuid=ca48e519-528a-4059-81e9-97cc4ddcd0e1"]}],"mendeley":{"formattedCitation":"[3]","plainTextFormattedCitation":"[3]","previouslyFormattedCitation":"[3]"},"properties":{"noteIndex":0},"schema":"https://github.com/citation-style-language/schema/raw/master/csl-citation.json"}</w:instrText>
      </w:r>
      <w:r w:rsidRPr="00F3553B">
        <w:rPr>
          <w:lang w:val="de-DE"/>
        </w:rPr>
        <w:fldChar w:fldCharType="separate"/>
      </w:r>
      <w:r w:rsidRPr="00F3553B">
        <w:rPr>
          <w:noProof/>
          <w:lang w:val="de-DE"/>
        </w:rPr>
        <w:t>[3</w:t>
      </w:r>
      <w:r w:rsidRPr="00F3553B">
        <w:fldChar w:fldCharType="end"/>
      </w:r>
      <w:r w:rsidRPr="00F3553B">
        <w:rPr>
          <w:lang w:val="de-DE"/>
        </w:rPr>
        <w:t xml:space="preserve">, </w:t>
      </w:r>
      <w:r w:rsidRPr="00F3553B">
        <w:rPr>
          <w:lang w:val="de-DE"/>
        </w:rPr>
        <w:fldChar w:fldCharType="begin" w:fldLock="1"/>
      </w:r>
      <w:r w:rsidRPr="00F3553B">
        <w:rPr>
          <w:lang w:val="de-DE"/>
        </w:rPr>
        <w:instrText>ADDIN CSL_CITATION {"citationItems":[{"id":"ITEM-1","itemData":{"DOI":"10.51298/vmj.v521i2.4068","ISSN":"1859-1868","abstract":"Mục tiêu: Phân tích một số yếu tố tiên lượng của phổ bệnh viêm tủy thị thần kinh (NMOSD). Đối tượng và phương pháp nghiên cứu: nghiên cứu mô tả cắt ngang, trên 38 bệnh nhân NMOSD có kháng thể kháng Aquaporin 4 dương tính tại Trung tâm Thần Kinh bệnh viện Bạch Mai. Kết quả: Bệnh nhân nữ chiếm 81,6% và độ tuổi từ 30-49 tuổi chiếm 52,6%, tuổi trung bình 41,9 ± 13,8. Triệu chứng lâm sàng liệt vận động gặp 89,5%, rối loạn cảm giác 86,5%, triệu chứng của thị giác 21,1% và hội chứng thân não 18,4%. Triệu chứng liệt vận động có thể gây tàn tật cao hơn ở bệnh nhân với điểm EDSS tăng có ý nghĩa thống kê giữa nhóm liệt tứ chi với nhóm liệt hai chi cũng như giữa nhóm liệt hai chân và không liệt vận động tương ứng với p=0,007 và 0,015; p=0,013 và 0,011. Tuổi bệnh nhân có tương quan tuyến tính thuận với điểm EDSS trung bình tại cả 2 thời điểm vào viện và ra viện lần lượt với hệ số tương quan r=0,401 và 0,338 với p=0,013 và 0,038, độ tin cậy 95%. Nhóm bệnh nhân không phụ thuộc vào hỗ trợ (EDSS &lt; 6) có độ tuổi thấp hơn có ý nghĩa thống kê so với và bệnh nhân phụ thuộc vào hỗ trợ (EDSS ≥ 6) với p=0,015. Kết luận: Triệu chứng liệt vận động, rối loạn cảm giác và thần kinh thị giác gặp tỷ lệ cao. Triệu chứng liệt vận động ban đầu càng nặng, tuổi càng cao thì mức độ tàn tật của bệnh nhân càng lớn.","author":[{"dropping-particle":"","family":"Vũ","given":"Văn Khôi","non-dropping-particle":"","parse-names":false,"suffix":""},{"dropping-particle":"","family":"Nguyễn","given":"Văn Tuận","non-dropping-particle":"","parse-names":false,"suffix":""}],"container-title":"Tạp chí Y học Việt Nam","id":"ITEM-1","issue":"2","issued":{"date-parts":[["2023","2","15"]]},"page":"2-7","title":"MỘT SỐ YẾU TỐ TIÊN LƯỢNG CỦA PHỔ BỆNH VIÊM TỦY THỊ THẦN KINH","type":"article-journal","volume":"521"},"uris":["http://www.mendeley.com/documents/?uuid=7daf3667-7856-4671-897f-8866a5516a0f"]}],"mendeley":{"formattedCitation":"[4]","plainTextFormattedCitation":"[4]","previouslyFormattedCitation":"[4]"},"properties":{"noteIndex":0},"schema":"https://github.com/citation-style-language/schema/raw/master/csl-citation.json"}</w:instrText>
      </w:r>
      <w:r w:rsidRPr="00F3553B">
        <w:rPr>
          <w:lang w:val="de-DE"/>
        </w:rPr>
        <w:fldChar w:fldCharType="separate"/>
      </w:r>
      <w:r w:rsidRPr="00F3553B">
        <w:rPr>
          <w:noProof/>
          <w:lang w:val="de-DE"/>
        </w:rPr>
        <w:t>4]</w:t>
      </w:r>
      <w:r w:rsidRPr="00F3553B">
        <w:fldChar w:fldCharType="end"/>
      </w:r>
      <w:r w:rsidRPr="00F3553B">
        <w:rPr>
          <w:lang w:val="de-DE"/>
        </w:rPr>
        <w:t xml:space="preserve">.  </w:t>
      </w:r>
    </w:p>
    <w:p w14:paraId="1FBADE48" w14:textId="0FAC6A07" w:rsidR="009C683C" w:rsidRPr="00F3553B" w:rsidRDefault="009C683C" w:rsidP="00F3553B">
      <w:pPr>
        <w:pStyle w:val="noidungctrla"/>
        <w:rPr>
          <w:lang w:val="de-DE"/>
        </w:rPr>
      </w:pPr>
      <w:r w:rsidRPr="00F3553B">
        <w:rPr>
          <w:lang w:val="de-DE"/>
        </w:rPr>
        <w:t xml:space="preserve">NMOSD được đặc trưng bởi sự thay đổi lớn trong phản ứng miễn dịch dẫn đến viêm nhưng cơ chế bệnh sinh cho đến nay vẫn chưa được làm rõ. Trong những năm gần đây, các nhà nghiên cứu cho rằng DNA ty thể (mtNDA) có thể là yếu tố quan trọng để hình thành bệnh lý bệnh NMOSD do khả năng điều chỉnh cơ chế gây viêm </w:t>
      </w:r>
      <w:r w:rsidRPr="00F3553B">
        <w:rPr>
          <w:lang w:val="de-DE"/>
        </w:rPr>
        <w:fldChar w:fldCharType="begin" w:fldLock="1"/>
      </w:r>
      <w:r w:rsidRPr="00F3553B">
        <w:rPr>
          <w:lang w:val="de-DE"/>
        </w:rPr>
        <w:instrText>ADDIN CSL_CITATION {"citationItems":[{"id":"ITEM-1","itemData":{"DOI":"10.3389/fimmu.2023.1160035","ISSN":"16643224","PMID":"37122709","abstract":"Autoimmune diseases are characterized by vast alterations in immune responses, but the pathogenesis remains sophisticated and yet to be fully elucidated. Multiple mechanisms regulating cell differentiation, maturation, and death are critical, among which mitochondria-related cellular organelle functions have recently gained accumulating attention. Mitochondria, as a highly preserved organelle in eukaryotes, have crucial roles in the cellular response to both exogenous and endogenous stress beyond their fundamental functions in chemical energy conversion. In this review, we aim to summarize recent findings on the function of mitochondria in the innate immune response and its aberrancy in autoimmune diseases such as rheumatoid arthritis, systemic lupus erythematosus, etc., mainly focusing on its direct impact on cellular metabolism and its machinery on regulating immune response signaling pathways. More importantly, we summarize the status quo of potential therapeutic targets found in the mitochondrial regulation in the setting of autoimmune diseases and wish to shed light on future studies.","author":[{"dropping-particle":"","family":"Jiao","given":"Yuhao","non-dropping-particle":"","parse-names":false,"suffix":""},{"dropping-particle":"","family":"Yan","given":"Zhiyu","non-dropping-particle":"","parse-names":false,"suffix":""},{"dropping-particle":"","family":"Yang","given":"Aiming","non-dropping-particle":"","parse-names":false,"suffix":""}],"container-title":"Frontiers in Immunology","id":"ITEM-1","issue":"April","issued":{"date-parts":[["2023"]]},"page":"1-14","title":"Mitochondria in innate immunity signaling and its therapeutic implications in autoimmune diseases","type":"article-journal","volume":"14"},"uris":["http://www.mendeley.com/documents/?uuid=94230b46-6a65-455d-8cc5-96841c2aff7b"]}],"mendeley":{"formattedCitation":"[5]","plainTextFormattedCitation":"[5]","previouslyFormattedCitation":"[5]"},"properties":{"noteIndex":0},"schema":"https://github.com/citation-style-language/schema/raw/master/csl-citation.json"}</w:instrText>
      </w:r>
      <w:r w:rsidRPr="00F3553B">
        <w:rPr>
          <w:lang w:val="de-DE"/>
        </w:rPr>
        <w:fldChar w:fldCharType="separate"/>
      </w:r>
      <w:r w:rsidRPr="00F3553B">
        <w:rPr>
          <w:noProof/>
          <w:lang w:val="de-DE"/>
        </w:rPr>
        <w:t>[5]</w:t>
      </w:r>
      <w:r w:rsidRPr="00F3553B">
        <w:fldChar w:fldCharType="end"/>
      </w:r>
      <w:r w:rsidRPr="00F3553B">
        <w:rPr>
          <w:lang w:val="de-DE"/>
        </w:rPr>
        <w:t xml:space="preserve">. mtDNA trong dịch não tủy tăng cao ở bệnh nhân NMOSD so với bệnh đa xơ cứng cũng </w:t>
      </w:r>
      <w:r w:rsidRPr="00F3553B">
        <w:rPr>
          <w:lang w:val="de-DE"/>
        </w:rPr>
        <w:lastRenderedPageBreak/>
        <w:t xml:space="preserve">như các bệnh thần kinh khác và liên quan đến mức độ nghiêm trọng của bệnh đã được chứng minh </w:t>
      </w:r>
      <w:r w:rsidRPr="00F3553B">
        <w:rPr>
          <w:lang w:val="pt-BR"/>
        </w:rPr>
        <w:fldChar w:fldCharType="begin" w:fldLock="1"/>
      </w:r>
      <w:r w:rsidRPr="00F3553B">
        <w:rPr>
          <w:lang w:val="pt-BR"/>
        </w:rPr>
        <w:instrText>ADDIN CSL_CITATION {"citationItems":[{"id":"ITEM-1","itemData":{"DOI":"10.1186/s12974-018-1162-0","ISSN":"17422094","PMID":"29703264","abstract":"Background: Neuromyelitis optica spectrum disorder (NMOSD) is an inflammatory disease of the central nervous system. Although complement-dependent astrocyte damage mediated by anti-aquaporin 4 autoantibody (AQP4-Ab) is well acknowledged to be the core of NMOSD pathogenesis, additional inflammatory cascades may contribute to the establishment of lesion formation. Thus, in this study, we investigated the possible pathogenic role of immune-reactive mitochondrial DNA (mtDNA) in cerebrospinal fluid (CSF) of NMOSD patients. Methods: Using quantitative polymerase chain reaction, we measured extracellular mtDNA levels in CSF of NMOSD patients positive for AQP4-Ab. Patients with multiple sclerosis or other neurological diseases were examined as controls. Pre- and post-treatment extracellular mtDNA levels were also compared in the NMOSD group. Extracellular mtDNA release from human astrocytes was analyzed in vitro utilizing NMOSD sera, and interleukin (IL)-1β production was measured in supernatants of mixed glial cells stimulated with DNA fraction of CSF derived from NMOSD patients. Furthermore, specific innate immune pathways mediating the IL-1β production by mtDNA were investigated in peripheral blood mononuclear cells with selective inhibitors of Toll-like receptor 9 (TLR9) and NOD-like receptor protein 3 (NLRP3) inflammasomes. Results: Extracellular mtDNA level was specifically elevated in acute phase of NMOSD CSF. In vitro studies provided the evidence that mtDNA is released from human astrocytes by NMOSD sera. In addition, DNA fraction isolated from NMOSD CSF promoted secretion of IL-1β from mixed glial cells. Selective inhibition of TLR9 and NLRP3 inflammasomes revealed that mtDNA-mediated IL-1β production depends on specific innate immune pathways. Conclusion: Extracellular mtDNA is specifically elevated in the CSF of patients with acute phase NMOSD, and mtDNA released by AQP4-Ab-mediated cellular damage elicits the innate immune cascades via TLR9 and NLRP3 inflammasomes pathways. Our study highlights mtDNA-mediated innate immune pathways as a novel therapeutic target for future treatment of NMOSD patients.","author":[{"dropping-particle":"","family":"Yamashita","given":"Kazuya","non-dropping-particle":"","parse-names":false,"suffix":""},{"dropping-particle":"","family":"Kinoshita","given":"Makoto","non-dropping-particle":"","parse-names":false,"suffix":""},{"dropping-particle":"","family":"Miyamoto","given":"Katsuichi","non-dropping-particle":"","parse-names":false,"suffix":""},{"dropping-particle":"","family":"Namba","given":"Akiko","non-dropping-particle":"","parse-names":false,"suffix":""},{"dropping-particle":"","family":"Shimizu","given":"Mikito","non-dropping-particle":"","parse-names":false,"suffix":""},{"dropping-particle":"","family":"Koda","given":"Toru","non-dropping-particle":"","parse-names":false,"suffix":""},{"dropping-particle":"","family":"Sugimoto","given":"Tomoyuki","non-dropping-particle":"","parse-names":false,"suffix":""},{"dropping-particle":"","family":"Mori","given":"Yuki","non-dropping-particle":"","parse-names":false,"suffix":""},{"dropping-particle":"","family":"Yoshioka","given":"Yoshichika","non-dropping-particle":"","parse-names":false,"suffix":""},{"dropping-particle":"","family":"Nakatsuji","given":"Yuji","non-dropping-particle":"","parse-names":false,"suffix":""},{"dropping-particle":"","family":"Kumanogoh","given":"Atsushi","non-dropping-particle":"","parse-names":false,"suffix":""},{"dropping-particle":"","family":"Kusunoki","given":"Susumu","non-dropping-particle":"","parse-names":false,"suffix":""},{"dropping-particle":"","family":"Mochizuki","given":"Hideki","non-dropping-particle":"","parse-names":false,"suffix":""},{"dropping-particle":"","family":"Okuno","given":"Tatsusada","non-dropping-particle":"","parse-names":false,"suffix":""}],"container-title":"Journal of Neuroinflammation","id":"ITEM-1","issue":"1","issued":{"date-parts":[["2018"]]},"page":"1-9","publisher":"Journal of Neuroinflammation","title":"Cerebrospinal fluid mitochondrial DNA in neuromyelitis optica spectrum disorder","type":"article-journal","volume":"15"},"uris":["http://www.mendeley.com/documents/?uuid=1b39f0d7-4d78-473b-ae43-c51d6aad4dec"]}],"mendeley":{"formattedCitation":"[6]","plainTextFormattedCitation":"[6]","previouslyFormattedCitation":"[6]"},"properties":{"noteIndex":0},"schema":"https://github.com/citation-style-language/schema/raw/master/csl-citation.json"}</w:instrText>
      </w:r>
      <w:r w:rsidRPr="00F3553B">
        <w:rPr>
          <w:lang w:val="pt-BR"/>
        </w:rPr>
        <w:fldChar w:fldCharType="separate"/>
      </w:r>
      <w:r w:rsidRPr="00F3553B">
        <w:rPr>
          <w:noProof/>
          <w:lang w:val="pt-BR"/>
        </w:rPr>
        <w:t>[6</w:t>
      </w:r>
      <w:r w:rsidRPr="00F3553B">
        <w:fldChar w:fldCharType="end"/>
      </w:r>
      <w:r w:rsidRPr="00F3553B">
        <w:rPr>
          <w:lang w:val="pt-BR"/>
        </w:rPr>
        <w:t xml:space="preserve">, </w:t>
      </w:r>
      <w:r w:rsidRPr="00F3553B">
        <w:rPr>
          <w:lang w:val="pt-BR"/>
        </w:rPr>
        <w:fldChar w:fldCharType="begin" w:fldLock="1"/>
      </w:r>
      <w:r w:rsidRPr="00F3553B">
        <w:rPr>
          <w:lang w:val="pt-BR"/>
        </w:rPr>
        <w:instrText>ADDIN CSL_CITATION {"citationItems":[{"id":"ITEM-1","itemData":{"DOI":"10.1038/s41598-020-70203-x","ISBN":"0123456789","ISSN":"20452322","PMID":"32764561","abstract":"Although recent studies indicate the involvement of monocytes in accelerating the lesion formation of neuromyelitis optica spectrum disorder (NMOSD), the precise mechanism of the innate immune system activation remains elusive. Thus, in this study, we aimed to clarify the mechanisms of NMOSD pathogenesis from the viewpoint of innate immunity activation. We established anti-AQP4 recombinant autoantibodies (Ab) from plasmablasts in NMOSD patient’s CSF. Human astrocytes treated with anti-AQP4 Ab produced a significant amount of CCL2 and contributed to the efficient recruitment of monocytes. Moreover, mitochondrial DNA (mtDNA), which activated monocytes via Toll-like receptor 9 (TLR9), was released from astrocytes treated with anti-AQP4 Ab. MtDNA further enhanced CCL2 production by monocytes, and it was demonstrated that mtDNA concentration correlated with the efficiency of monocyte recruitment in the CSF of NMOSD patients. In conclusion, these observations highlight that mtDNA which was released from astrocytes damaged by anti-AQP4 Ab has a central role in establishing the inflammatory loop of monocyte recruitment and activation via an innate immunity pathway.","author":[{"dropping-particle":"","family":"Shimizu","given":"Mikito","non-dropping-particle":"","parse-names":false,"suffix":""},{"dropping-particle":"","family":"Okuno","given":"Tatsusada","non-dropping-particle":"","parse-names":false,"suffix":""},{"dropping-particle":"","family":"Kinoshita","given":"Makoto","non-dropping-particle":"","parse-names":false,"suffix":""},{"dropping-particle":"","family":"Sumi","given":"Hisae","non-dropping-particle":"","parse-names":false,"suffix":""},{"dropping-particle":"","family":"Fujimura","given":"Harutoshi","non-dropping-particle":"","parse-names":false,"suffix":""},{"dropping-particle":"","family":"Yamashita","given":"Kazuya","non-dropping-particle":"","parse-names":false,"suffix":""},{"dropping-particle":"","family":"Sugimoto","given":"Tomoyuki","non-dropping-particle":"","parse-names":false,"suffix":""},{"dropping-particle":"","family":"Sakakibara","given":"Shuhei","non-dropping-particle":"","parse-names":false,"suffix":""},{"dropping-particle":"","family":"Sakakibara","given":"Kaori","non-dropping-particle":"","parse-names":false,"suffix":""},{"dropping-particle":"","family":"Koda","given":"Toru","non-dropping-particle":"","parse-names":false,"suffix":""},{"dropping-particle":"","family":"Tada","given":"Satoru","non-dropping-particle":"","parse-names":false,"suffix":""},{"dropping-particle":"","family":"Ishikura","given":"Teruyuki","non-dropping-particle":"","parse-names":false,"suffix":""},{"dropping-particle":"","family":"Murata","given":"Hisashi","non-dropping-particle":"","parse-names":false,"suffix":""},{"dropping-particle":"","family":"Beppu","given":"Shohei","non-dropping-particle":"","parse-names":false,"suffix":""},{"dropping-particle":"","family":"Shiraishi","given":"Naoyuki","non-dropping-particle":"","parse-names":false,"suffix":""},{"dropping-particle":"","family":"Sugiyama","given":"Yasuko","non-dropping-particle":"","parse-names":false,"suffix":""},{"dropping-particle":"","family":"Nakatsuji","given":"Yuji","non-dropping-particle":"","parse-names":false,"suffix":""},{"dropping-particle":"","family":"Kumanogoh","given":"Atsushi","non-dropping-particle":"","parse-names":false,"suffix":""},{"dropping-particle":"","family":"Mochizuki","given":"Hideki","non-dropping-particle":"","parse-names":false,"suffix":""}],"container-title":"Scientific Reports","id":"ITEM-1","issue":"1","issued":{"date-parts":[["2020"]]},"page":"1-12","publisher":"Nature Publishing Group UK","title":"Mitochondrial DNA enhance innate immune responses in neuromyelitis optica by monocyte recruitment and activation","type":"article-journal","volume":"10"},"uris":["http://www.mendeley.com/documents/?uuid=324f594d-095c-4dcf-8292-cb576289587b"]}],"mendeley":{"formattedCitation":"[7]","plainTextFormattedCitation":"[7]","previouslyFormattedCitation":"[7]"},"properties":{"noteIndex":0},"schema":"https://github.com/citation-style-language/schema/raw/master/csl-citation.json"}</w:instrText>
      </w:r>
      <w:r w:rsidRPr="00F3553B">
        <w:rPr>
          <w:lang w:val="pt-BR"/>
        </w:rPr>
        <w:fldChar w:fldCharType="separate"/>
      </w:r>
      <w:r w:rsidRPr="00F3553B">
        <w:rPr>
          <w:noProof/>
          <w:lang w:val="pt-BR"/>
        </w:rPr>
        <w:t>7]</w:t>
      </w:r>
      <w:r w:rsidRPr="00F3553B">
        <w:fldChar w:fldCharType="end"/>
      </w:r>
      <w:r w:rsidRPr="00F3553B">
        <w:rPr>
          <w:lang w:val="de-DE"/>
        </w:rPr>
        <w:t xml:space="preserve">. </w:t>
      </w:r>
      <w:r w:rsidRPr="00F3553B">
        <w:rPr>
          <w:lang w:val="pt-BR"/>
        </w:rPr>
        <w:t>Mặc dù, trên thế giới, đã có một vài công bố liên quan đến biến đổi mtDNA ở bệnh nhân mắc NMOSD nhưng dữ liệu chưa nhiều, đặc biệt trên đối tượng người Việt Nam</w:t>
      </w:r>
      <w:r w:rsidR="00C414AC" w:rsidRPr="00F3553B">
        <w:rPr>
          <w:lang w:val="pt-BR"/>
        </w:rPr>
        <w:t>.</w:t>
      </w:r>
      <w:r w:rsidRPr="00F3553B">
        <w:rPr>
          <w:lang w:val="pt-BR"/>
        </w:rPr>
        <w:t xml:space="preserve"> Cho đến nay, chúng tôi chưa tìm thấy công bố nào liên quan đến biến đổi mtDNA trên bệnh nhân NMOSD. Do đó, chúng tôi tiến hành xác định mức độ mất đoạn lớn và số bản sao mtDNA trong máu người bệnh nhằm tìm hiểu mối liên quan giữa chúng với một số đặc điểm của bệnh nhân NMOSD.</w:t>
      </w:r>
    </w:p>
    <w:p w14:paraId="5EEE202F" w14:textId="77777777" w:rsidR="009C683C" w:rsidRPr="00F3553B" w:rsidRDefault="009C683C" w:rsidP="00F3553B">
      <w:pPr>
        <w:pStyle w:val="modauctri5"/>
        <w:rPr>
          <w:lang w:val="pt-BR"/>
        </w:rPr>
      </w:pPr>
      <w:r w:rsidRPr="00F3553B">
        <w:rPr>
          <w:lang w:val="pt-BR"/>
        </w:rPr>
        <w:t>2. Đối tượng và phương pháp nghiên cứu</w:t>
      </w:r>
    </w:p>
    <w:p w14:paraId="70559578" w14:textId="77777777" w:rsidR="009C683C" w:rsidRPr="00F3553B" w:rsidRDefault="009C683C" w:rsidP="00F3553B">
      <w:pPr>
        <w:pStyle w:val="motnhoctrl6"/>
      </w:pPr>
      <w:r w:rsidRPr="00F3553B">
        <w:t>2.1. Đối tượng nghiên cứu</w:t>
      </w:r>
    </w:p>
    <w:p w14:paraId="1E541A1A" w14:textId="77777777" w:rsidR="009C683C" w:rsidRPr="00F3553B" w:rsidRDefault="009C683C" w:rsidP="00F3553B">
      <w:pPr>
        <w:pStyle w:val="noidungctrla"/>
        <w:rPr>
          <w:lang w:val="de-DE"/>
        </w:rPr>
      </w:pPr>
      <w:r w:rsidRPr="00F3553B">
        <w:rPr>
          <w:lang w:val="de-DE"/>
        </w:rPr>
        <w:t xml:space="preserve">Mẫu nghiên cứu gồm 45 mẫu máu của bệnh nhân được chẩn đoán mắc NMOSD và đã được làm xét nghiệm xác định kháng thể kháng Aquaporin4 do Khoa Nội tổng hợp, Bệnh viện Đại học Y Hà Nội cung cấp. </w:t>
      </w:r>
    </w:p>
    <w:p w14:paraId="1B7A1484" w14:textId="77777777" w:rsidR="009C683C" w:rsidRPr="00F3553B" w:rsidRDefault="009C683C" w:rsidP="00F3553B">
      <w:pPr>
        <w:pStyle w:val="noidungctrla"/>
        <w:rPr>
          <w:lang w:val="de-DE"/>
        </w:rPr>
      </w:pPr>
      <w:r w:rsidRPr="00F3553B">
        <w:rPr>
          <w:lang w:val="de-DE"/>
        </w:rPr>
        <w:t xml:space="preserve">Mẫu đối chứng là 66 mẫu máu của người khỏe mạnh bình thường được Khoa Sàng lọc máu, Viện Huyết học và Truyền máu Trung ương cung cấp đã được xác định mức độ mất đoạn lớn và số bản sao mtDNA. </w:t>
      </w:r>
    </w:p>
    <w:p w14:paraId="3571C0DA" w14:textId="77777777" w:rsidR="009C683C" w:rsidRPr="00F3553B" w:rsidRDefault="009C683C" w:rsidP="00F3553B">
      <w:pPr>
        <w:pStyle w:val="motnhoctrl6"/>
      </w:pPr>
      <w:r w:rsidRPr="00F3553B">
        <w:t>2.2. Phương pháp và quy trình nghiên cứu</w:t>
      </w:r>
    </w:p>
    <w:p w14:paraId="68004E2C" w14:textId="77777777" w:rsidR="009C683C" w:rsidRPr="00F3553B" w:rsidRDefault="009C683C" w:rsidP="00F3553B">
      <w:pPr>
        <w:pStyle w:val="noidungctrla"/>
        <w:rPr>
          <w:lang w:val="de-DE"/>
        </w:rPr>
      </w:pPr>
      <w:r w:rsidRPr="00F3553B">
        <w:rPr>
          <w:lang w:val="de-DE"/>
        </w:rPr>
        <w:t>Phương pháp nghiên cứu cắt ngang, cỡ mẫu lấy ngẫu nhiên, bao gồm các trường hợp được tiếp nhận từ bệnh viện trong khoảng thời gian từ tháng 9 năm 2020 đến tháng 4 năm 2024 đối với mẫu máu của bệnh nhân được chẩn đoán mắc NMOSD đã được làm xét nghiệm xác định kháng thể kháng Aquaporin4 và trong khoảng thời gian từ tháng 4 năm 2015 đến tháng 5 năm 2015 đối với mẫu máu của người khỏe mạnh bình thường. Các bước tiến hành thí nghiệm được thực hiện như sau:</w:t>
      </w:r>
    </w:p>
    <w:p w14:paraId="6EC3EC29" w14:textId="18BD2095" w:rsidR="009C683C" w:rsidRPr="00F3553B" w:rsidRDefault="009C683C" w:rsidP="00F3553B">
      <w:pPr>
        <w:pStyle w:val="noidungctrla"/>
        <w:rPr>
          <w:lang w:val="de-DE"/>
        </w:rPr>
      </w:pPr>
      <w:r w:rsidRPr="00F3553B">
        <w:rPr>
          <w:i/>
          <w:iCs/>
          <w:lang w:val="de-DE"/>
        </w:rPr>
        <w:t>Tách chiết DNA tổng số từ mẫu máu</w:t>
      </w:r>
      <w:r w:rsidRPr="00F3553B">
        <w:rPr>
          <w:lang w:val="de-DE"/>
        </w:rPr>
        <w:t xml:space="preserve">: DNA tổng số trong mẫu máu được tách chiết bằng cách sử dụng G-SpinTM Total DNA Extraction Kit (iNtRON Biotechnology, Hàn Quốc) theo hướng dẫn của nhà sản xuất. Hàm lượng DNA tổng số </w:t>
      </w:r>
      <w:r w:rsidRPr="00F3553B">
        <w:rPr>
          <w:lang w:val="de-DE"/>
        </w:rPr>
        <w:lastRenderedPageBreak/>
        <w:t xml:space="preserve">thu được được xác định bằng phương pháp đo quang phổ trên máy NanoDrop 2000c (Thermo Scientific, Mỹ), độ tinh sạch của DNA tổng số được xác định bằng tỷ số A260/A280 trong khoảng 1,8-2,0 và được kiểm tra thông qua điện di trên gel agarose 1% (Invitrogen, Mỹ). </w:t>
      </w:r>
      <w:r w:rsidRPr="00F3553B">
        <w:rPr>
          <w:lang w:val="vi-VN"/>
        </w:rPr>
        <w:t>Các mẫu D</w:t>
      </w:r>
      <w:r w:rsidRPr="00F3553B">
        <w:rPr>
          <w:lang w:val="de-DE"/>
        </w:rPr>
        <w:t>NA tổng số</w:t>
      </w:r>
      <w:r w:rsidRPr="00F3553B">
        <w:rPr>
          <w:lang w:val="vi-VN"/>
        </w:rPr>
        <w:t xml:space="preserve"> thu được có nồng độ cao, các băng lên rõ nét</w:t>
      </w:r>
      <w:r w:rsidRPr="00F3553B">
        <w:rPr>
          <w:lang w:val="de-DE"/>
        </w:rPr>
        <w:t xml:space="preserve"> được bảo quản ở -20 </w:t>
      </w:r>
      <w:r w:rsidRPr="00F3553B">
        <w:rPr>
          <w:vertAlign w:val="superscript"/>
          <w:lang w:val="de-DE"/>
        </w:rPr>
        <w:t>o</w:t>
      </w:r>
      <w:r w:rsidRPr="00F3553B">
        <w:rPr>
          <w:lang w:val="de-DE"/>
        </w:rPr>
        <w:t>C cho đến khi tiến hành các bước thí nghiệm tiếp theo.</w:t>
      </w:r>
    </w:p>
    <w:p w14:paraId="6D47DC99" w14:textId="152A3E2C" w:rsidR="009C683C" w:rsidRPr="00F3553B" w:rsidRDefault="009C683C" w:rsidP="00F3553B">
      <w:pPr>
        <w:pStyle w:val="noidungctrla"/>
        <w:rPr>
          <w:lang w:val="de-DE"/>
        </w:rPr>
      </w:pPr>
      <w:r w:rsidRPr="00F3553B">
        <w:rPr>
          <w:i/>
          <w:iCs/>
          <w:lang w:val="de-DE"/>
        </w:rPr>
        <w:t>PCR định lượng</w:t>
      </w:r>
      <w:r w:rsidRPr="00F3553B">
        <w:rPr>
          <w:lang w:val="de-DE"/>
        </w:rPr>
        <w:t xml:space="preserve">: mức độ mất đoạn và số bản sao mtDNA được xác định dựa trên phản ứng PCR định lượng với 3 cặp mồi tương ứng với 3 gen </w:t>
      </w:r>
      <w:r w:rsidRPr="00F3553B">
        <w:rPr>
          <w:i/>
          <w:lang w:val="de-DE"/>
        </w:rPr>
        <w:t>ND1, ND4, HBB</w:t>
      </w:r>
      <w:r w:rsidRPr="00F3553B">
        <w:rPr>
          <w:lang w:val="de-DE"/>
        </w:rPr>
        <w:t xml:space="preserve">, trong đó đoạn DNA của gen </w:t>
      </w:r>
      <w:r w:rsidRPr="00F3553B">
        <w:rPr>
          <w:i/>
          <w:lang w:val="de-DE"/>
        </w:rPr>
        <w:t>ND1</w:t>
      </w:r>
      <w:r w:rsidRPr="00F3553B">
        <w:rPr>
          <w:lang w:val="de-DE"/>
        </w:rPr>
        <w:t xml:space="preserve"> nằm trong vùng ít xảy ra mất đoạn, gen </w:t>
      </w:r>
      <w:r w:rsidRPr="00F3553B">
        <w:rPr>
          <w:i/>
          <w:lang w:val="de-DE"/>
        </w:rPr>
        <w:t>ND4</w:t>
      </w:r>
      <w:r w:rsidRPr="00F3553B">
        <w:rPr>
          <w:lang w:val="de-DE"/>
        </w:rPr>
        <w:t xml:space="preserve"> nằm trong vùng hay xảy ra mất đoạn được đại diện cho DNA ty thể và gen </w:t>
      </w:r>
      <w:r w:rsidRPr="00F3553B">
        <w:rPr>
          <w:i/>
          <w:lang w:val="de-DE"/>
        </w:rPr>
        <w:t>HBB</w:t>
      </w:r>
      <w:r w:rsidRPr="00F3553B">
        <w:rPr>
          <w:lang w:val="de-DE"/>
        </w:rPr>
        <w:t xml:space="preserve"> (Hemoglobin subunit beta) đại diện cho DNA nhân </w:t>
      </w:r>
      <w:r w:rsidRPr="00F3553B">
        <w:rPr>
          <w:lang w:val="de-DE"/>
        </w:rPr>
        <w:fldChar w:fldCharType="begin" w:fldLock="1"/>
      </w:r>
      <w:r w:rsidRPr="00F3553B">
        <w:rPr>
          <w:lang w:val="de-DE"/>
        </w:rPr>
        <w:instrText>ADDIN CSL_CITATION {"citationItems":[{"id":"ITEM-1","itemData":{"DOI":"10.1093/nar/gnf067","ISSN":"13624962","PMID":"12136116","abstract":"Defects of mitochondrial DNA (mtDNA) are an important cause of disease and play a role in the ageing process. There are multiple copies of the mitochondrial genome in a single cell. In many patients with acquired or inherited mtDNA mutations, there exists a mixture of mutated and wild type genomes (termed heteroplasmy) within individual cells. As a biochemical and clinical defect is only observed when there are high levels of mutated mtDNA, a crucial investigation is to determine the level of heteroplasmic mutations within tissues and individual cells. We have developed an assay to determine the relative amount of deleted mtDNA using real-time fluorescence PCR. This assay detects the vast majority of deleted molecules, thus eliminating the need to develop specific probes. We have demonstrated an excellent correlation with other techniques (Southern blotting and three- primer competitive PCR), and have shown this technique to be sensitive to quantify the level of deleted mtDNA molecules in individual cells. Finally, we have used this assay to investigate patients with mitochondrial disease and shown in individual skeletal muscle fibres that there exist different patterns of abnormalities between patients with single or multiple mtDNA deletions. We believe that this technique has significant advantages over other methods to quantify deleted mtDNA and, employed alongside our method to sequence the mitochondrial genome from single cells, will further our understanding of the role of mtDNA mutations in human disease and ageing.","author":[{"dropping-particle":"","family":"He","given":"Langping","non-dropping-particle":"","parse-names":false,"suffix":""},{"dropping-particle":"","family":"Chinnery","given":"Patrick F.","non-dropping-particle":"","parse-names":false,"suffix":""},{"dropping-particle":"","family":"Durham","given":"Steve E.","non-dropping-particle":"","parse-names":false,"suffix":""},{"dropping-particle":"","family":"Blakely","given":"Emma L.","non-dropping-particle":"","parse-names":false,"suffix":""},{"dropping-particle":"","family":"Wardell","given":"Theresa M.","non-dropping-particle":"","parse-names":false,"suffix":""},{"dropping-particle":"","family":"Borthwick","given":"Gillian M.","non-dropping-particle":"","parse-names":false,"suffix":""},{"dropping-particle":"","family":"Taylor","given":"Robert W.","non-dropping-particle":"","parse-names":false,"suffix":""},{"dropping-particle":"","family":"Turnbull","given":"Douglass M.","non-dropping-particle":"","parse-names":false,"suffix":""}],"container-title":"Nucleic acids research","id":"ITEM-1","issue":"14","issued":{"date-parts":[["2002"]]},"title":"Detection and quantification of mitochondrial DNA deletions in individual cells by real-time PCR","type":"article-journal","volume":"30"},"uris":["http://www.mendeley.com/documents/?uuid=d1d70231-a469-4f7d-b909-7a20557961e4"]}],"mendeley":{"formattedCitation":"[8]","plainTextFormattedCitation":"[8]","previouslyFormattedCitation":"[8]"},"properties":{"noteIndex":0},"schema":"https://github.com/citation-style-language/schema/raw/master/csl-citation.json"}</w:instrText>
      </w:r>
      <w:r w:rsidRPr="00F3553B">
        <w:rPr>
          <w:lang w:val="de-DE"/>
        </w:rPr>
        <w:fldChar w:fldCharType="separate"/>
      </w:r>
      <w:r w:rsidRPr="00F3553B">
        <w:rPr>
          <w:noProof/>
          <w:lang w:val="de-DE"/>
        </w:rPr>
        <w:t>[8</w:t>
      </w:r>
      <w:r w:rsidRPr="00F3553B">
        <w:fldChar w:fldCharType="end"/>
      </w:r>
      <w:r w:rsidR="003E1EF7" w:rsidRPr="00F3553B">
        <w:rPr>
          <w:lang w:val="de-DE"/>
        </w:rPr>
        <w:t>,</w:t>
      </w:r>
      <w:r w:rsidRPr="00F3553B">
        <w:rPr>
          <w:lang w:val="de-DE"/>
        </w:rPr>
        <w:fldChar w:fldCharType="begin" w:fldLock="1"/>
      </w:r>
      <w:r w:rsidRPr="00F3553B">
        <w:rPr>
          <w:lang w:val="de-DE"/>
        </w:rPr>
        <w:instrText>ADDIN CSL_CITATION {"citationItems":[{"id":"ITEM-1","itemData":{"DOI":"10.1038/srep35859","ISSN":"20452322","PMID":"27775013","abstract":"Accumulating epidemiological evidence indicates that the quantitative changes in human mitochondrial DNA (mtDNA) copy number could affect the genetic susceptibility of malignancies in a tumor-specific manner, but the results are still elusive. To provide a more precise estimation on the association between mtDNA copy number and risk of diverse malignancies, a meta-analysis was conducted by calculating the pooled odds ratios (OR) and the 95% confidence intervals (95% CI). A total of 36 case-control studies involving 11,847 cases and 15,438 controls were finally included in the meta-analysis. Overall analysis of all studies suggested no significant association between mtDNA content and cancer risk (OR = 1.044, 95% CI = 0.866-1.260, P = 0.651). Subgroup analyses by cancer types showed an obvious positive association between mtDNA content and lymphoma and breast cancer (OR = 1.645, 95% CI = 1.117-2.421, P = 0.012; OR = 1.721, 95% CI = 1.130-2.622, P = 0.011, respectively), and a negative association for hepatic carcinoma. Stratified analyses by other confounding factors also found increased cancer risk in people with drinking addiction. Further analysis using studies of quartiles found that populations with the highest mtDNA content may be under more obvious risk of melanoma and that Western populations were more susceptible than Asians.","author":[{"dropping-particle":"","family":"Hu","given":"Liwen","non-dropping-particle":"","parse-names":false,"suffix":""},{"dropping-particle":"","family":"Yao","given":"Xinyue","non-dropping-particle":"","parse-names":false,"suffix":""},{"dropping-particle":"","family":"Shen","given":"Yi","non-dropping-particle":"","parse-names":false,"suffix":""}],"container-title":"Scientific Reports","id":"ITEM-1","issue":"April","issued":{"date-parts":[["2016"]]},"page":"1-11","publisher":"Nature Publishing Group","title":"Altered mitochondrial DNA copy number contributes to human cancer risk: Evidence from an updated meta-analysis","type":"article-journal","volume":"6"},"uris":["http://www.mendeley.com/documents/?uuid=0164d062-4aa6-4aa3-ae58-ad42a93332f0"]}],"mendeley":{"formattedCitation":"[9]","plainTextFormattedCitation":"[9]","previouslyFormattedCitation":"[9]"},"properties":{"noteIndex":0},"schema":"https://github.com/citation-style-language/schema/raw/master/csl-citation.json"}</w:instrText>
      </w:r>
      <w:r w:rsidRPr="00F3553B">
        <w:rPr>
          <w:lang w:val="de-DE"/>
        </w:rPr>
        <w:fldChar w:fldCharType="separate"/>
      </w:r>
      <w:r w:rsidR="003E1EF7" w:rsidRPr="00F3553B">
        <w:rPr>
          <w:noProof/>
          <w:lang w:val="de-DE"/>
        </w:rPr>
        <w:t xml:space="preserve"> </w:t>
      </w:r>
      <w:r w:rsidRPr="00F3553B">
        <w:rPr>
          <w:noProof/>
          <w:lang w:val="de-DE"/>
        </w:rPr>
        <w:t>9]</w:t>
      </w:r>
      <w:r w:rsidRPr="00F3553B">
        <w:fldChar w:fldCharType="end"/>
      </w:r>
      <w:r w:rsidRPr="00F3553B">
        <w:rPr>
          <w:lang w:val="de-DE"/>
        </w:rPr>
        <w:t xml:space="preserve">.  Các mồi có trình tự lần lượt là ND1 (kích thước sản phẩm 115 bp): mồi xuôi 5‘-AGTGGCTCCTTTAACCTCTC-3‘ và mồi ngược 5‘-GGTTGGTCTCTGCTAGTGTG-3‘; ND4 (kích thước sản phẩm 128 bp): mồi xuôi 5‘-CCTATTTAGCTTCCCCAA-3‘ và mồi ngược 5‘-GTGATAGTGGTTCACTGGATAAGT-3‘; HBB (kích thước sản phẩm 104 bp): mồi xuôi 5‘-GGAGAAGTCTGCCGTTACTG-3‘ và mồi ngược 5‘-CCTTAAACCTGTCTTGTAACCT-3‘, dựa vào trình tự chuẩn của mtDNA (NC_012920.1) và gen </w:t>
      </w:r>
      <w:r w:rsidRPr="00F3553B">
        <w:rPr>
          <w:i/>
          <w:iCs/>
          <w:lang w:val="de-DE"/>
        </w:rPr>
        <w:t>HBB</w:t>
      </w:r>
      <w:r w:rsidRPr="00F3553B">
        <w:rPr>
          <w:lang w:val="de-DE"/>
        </w:rPr>
        <w:t xml:space="preserve"> (NG_000007.3) trên NCBI.</w:t>
      </w:r>
    </w:p>
    <w:p w14:paraId="78E6D596" w14:textId="1A5CAFA9" w:rsidR="009C683C" w:rsidRPr="00F3553B" w:rsidRDefault="009C683C" w:rsidP="00F3553B">
      <w:pPr>
        <w:pStyle w:val="noidungctrla"/>
        <w:rPr>
          <w:lang w:val="de-DE"/>
        </w:rPr>
      </w:pPr>
      <w:r w:rsidRPr="00F3553B">
        <w:rPr>
          <w:lang w:val="de-DE"/>
        </w:rPr>
        <w:t xml:space="preserve">Quá trình khuếch đại sử dụng SensiFAST™ SYBR (Bioline, Anh) theo hướng dẫn sử dụng của nhà sản xuất với mồi và khuôn có nồng độ cuối là 0,2 µM và 0,5 ng/µL. PCR định lượng sử dụng máy Rotor Gene Q (Qiagen, Đức) với chu kỳ nhiệt: giai đoạn khởi đầu (95 °C, 2 phút); giai đoạn khuếch đại 40 chu kỳ (95 °C, 5 giây; 60 °C, 30 giây); giai đoạn nóng chảy (95 °C, 1 phút; 60 °C, 15 giây; 98 °C, 5 giây). Kết quả định lượng được phân tích bằng phần mềm Rotor Gene Q Series Software 2.3.5. Giá trị chu kỳ ngưỡng (Ct) thu được của mẫu nghiên cứu được sử dụng để tính toán mức độ mất đoạn lớn và số bản sao tương đối của mtDNA. </w:t>
      </w:r>
    </w:p>
    <w:p w14:paraId="4A9CCD02" w14:textId="77777777" w:rsidR="009C683C" w:rsidRPr="00F3553B" w:rsidRDefault="009C683C" w:rsidP="00F3553B">
      <w:pPr>
        <w:pStyle w:val="noidungctrla"/>
        <w:rPr>
          <w:lang w:val="de-DE"/>
        </w:rPr>
      </w:pPr>
      <w:r w:rsidRPr="00F3553B">
        <w:rPr>
          <w:lang w:val="de-DE"/>
        </w:rPr>
        <w:t xml:space="preserve">Mức độ mất đoạn lớn mtDNA được tính toán theo công thức: </w:t>
      </w:r>
    </w:p>
    <w:p w14:paraId="7C71A6C1" w14:textId="77777777" w:rsidR="009C683C" w:rsidRPr="00F3553B" w:rsidRDefault="009C683C" w:rsidP="00F3553B">
      <w:pPr>
        <w:pStyle w:val="noidungctrla"/>
        <w:spacing w:before="60" w:after="60"/>
        <w:rPr>
          <w:lang w:val="de-DE"/>
        </w:rPr>
      </w:pPr>
      <w:r w:rsidRPr="00F3553B">
        <w:rPr>
          <w:lang w:val="de-DE"/>
        </w:rPr>
        <w:t>D = (1 – 2</w:t>
      </w:r>
      <w:r w:rsidRPr="00F3553B">
        <w:rPr>
          <w:vertAlign w:val="superscript"/>
          <w:lang w:val="de-DE"/>
        </w:rPr>
        <w:t xml:space="preserve"> (Ct ND4 - Ct ND1)</w:t>
      </w:r>
      <w:r w:rsidRPr="00F3553B">
        <w:rPr>
          <w:lang w:val="de-DE"/>
        </w:rPr>
        <w:t xml:space="preserve">) *100% </w:t>
      </w:r>
      <w:r w:rsidRPr="00F3553B">
        <w:rPr>
          <w:lang w:val="de-DE"/>
        </w:rPr>
        <w:fldChar w:fldCharType="begin" w:fldLock="1"/>
      </w:r>
      <w:r w:rsidRPr="00F3553B">
        <w:rPr>
          <w:lang w:val="de-DE"/>
        </w:rPr>
        <w:instrText>ADDIN CSL_CITATION {"citationItems":[{"id":"ITEM-1","itemData":{"DOI":"10.1093/nar/gnf067","ISSN":"13624962","PMID":"12136116","abstract":"Defects of mitochondrial DNA (mtDNA) are an important cause of disease and play a role in the ageing process. There are multiple copies of the mitochondrial genome in a single cell. In many patients with acquired or inherited mtDNA mutations, there exists a mixture of mutated and wild type genomes (termed heteroplasmy) within individual cells. As a biochemical and clinical defect is only observed when there are high levels of mutated mtDNA, a crucial investigation is to determine the level of heteroplasmic mutations within tissues and individual cells. We have developed an assay to determine the relative amount of deleted mtDNA using real-time fluorescence PCR. This assay detects the vast majority of deleted molecules, thus eliminating the need to develop specific probes. We have demonstrated an excellent correlation with other techniques (Southern blotting and three- primer competitive PCR), and have shown this technique to be sensitive to quantify the level of deleted mtDNA molecules in individual cells. Finally, we have used this assay to investigate patients with mitochondrial disease and shown in individual skeletal muscle fibres that there exist different patterns of abnormalities between patients with single or multiple mtDNA deletions. We believe that this technique has significant advantages over other methods to quantify deleted mtDNA and, employed alongside our method to sequence the mitochondrial genome from single cells, will further our understanding of the role of mtDNA mutations in human disease and ageing.","author":[{"dropping-particle":"","family":"He","given":"Langping","non-dropping-particle":"","parse-names":false,"suffix":""},{"dropping-particle":"","family":"Chinnery","given":"Patrick F.","non-dropping-particle":"","parse-names":false,"suffix":""},{"dropping-particle":"","family":"Durham","given":"Steve E.","non-dropping-particle":"","parse-names":false,"suffix":""},{"dropping-particle":"","family":"Blakely","given":"Emma L.","non-dropping-particle":"","parse-names":false,"suffix":""},{"dropping-particle":"","family":"Wardell","given":"Theresa M.","non-dropping-particle":"","parse-names":false,"suffix":""},{"dropping-particle":"","family":"Borthwick","given":"Gillian M.","non-dropping-particle":"","parse-names":false,"suffix":""},{"dropping-particle":"","family":"Taylor","given":"Robert W.","non-dropping-particle":"","parse-names":false,"suffix":""},{"dropping-particle":"","family":"Turnbull","given":"Douglass M.","non-dropping-particle":"","parse-names":false,"suffix":""}],"container-title":"Nucleic acids research","id":"ITEM-1","issue":"14","issued":{"date-parts":[["2002"]]},"title":"Detection and quantification of mitochondrial DNA deletions in individual cells by real-time PCR","type":"article-journal","volume":"30"},"uris":["http://www.mendeley.com/documents/?uuid=d1d70231-a469-4f7d-b909-7a20557961e4"]}],"mendeley":{"formattedCitation":"[8]","plainTextFormattedCitation":"[8]","previouslyFormattedCitation":"[8]"},"properties":{"noteIndex":0},"schema":"https://github.com/citation-style-language/schema/raw/master/csl-citation.json"}</w:instrText>
      </w:r>
      <w:r w:rsidRPr="00F3553B">
        <w:rPr>
          <w:lang w:val="de-DE"/>
        </w:rPr>
        <w:fldChar w:fldCharType="separate"/>
      </w:r>
      <w:r w:rsidRPr="00F3553B">
        <w:rPr>
          <w:noProof/>
          <w:lang w:val="de-DE"/>
        </w:rPr>
        <w:t>[8]</w:t>
      </w:r>
      <w:r w:rsidRPr="00F3553B">
        <w:fldChar w:fldCharType="end"/>
      </w:r>
      <w:r w:rsidRPr="00F3553B">
        <w:rPr>
          <w:lang w:val="de-DE"/>
        </w:rPr>
        <w:t>.</w:t>
      </w:r>
    </w:p>
    <w:p w14:paraId="2F1742EF" w14:textId="212D9A0E" w:rsidR="009C683C" w:rsidRPr="00F3553B" w:rsidRDefault="009C683C" w:rsidP="00F3553B">
      <w:pPr>
        <w:pStyle w:val="noidungctrla"/>
        <w:rPr>
          <w:lang w:val="de-DE"/>
        </w:rPr>
      </w:pPr>
      <w:r w:rsidRPr="00F3553B">
        <w:rPr>
          <w:lang w:val="de-DE"/>
        </w:rPr>
        <w:lastRenderedPageBreak/>
        <w:t xml:space="preserve">Số bản sao mtDNA tương </w:t>
      </w:r>
      <w:r w:rsidR="008E4A54" w:rsidRPr="00F3553B">
        <w:rPr>
          <w:lang w:val="de-DE"/>
        </w:rPr>
        <w:t>đ</w:t>
      </w:r>
      <w:r w:rsidRPr="00F3553B">
        <w:rPr>
          <w:lang w:val="de-DE"/>
        </w:rPr>
        <w:t xml:space="preserve">ối được tính toán theo công thức: </w:t>
      </w:r>
    </w:p>
    <w:p w14:paraId="2A6F9860" w14:textId="77777777" w:rsidR="009C683C" w:rsidRPr="00F3553B" w:rsidRDefault="009C683C" w:rsidP="00F3553B">
      <w:pPr>
        <w:pStyle w:val="noidungctrla"/>
        <w:spacing w:before="60" w:after="60"/>
        <w:jc w:val="center"/>
        <w:rPr>
          <w:lang w:val="de-DE"/>
        </w:rPr>
      </w:pPr>
      <w:r w:rsidRPr="00F3553B">
        <w:rPr>
          <w:lang w:val="de-DE"/>
        </w:rPr>
        <w:t>C = 2</w:t>
      </w:r>
      <w:r w:rsidRPr="00F3553B">
        <w:rPr>
          <w:vertAlign w:val="superscript"/>
          <w:lang w:val="de-DE"/>
        </w:rPr>
        <w:t xml:space="preserve">(Ct HBB - Ct ND1) </w:t>
      </w:r>
      <w:r w:rsidRPr="00F3553B">
        <w:rPr>
          <w:lang w:val="de-DE"/>
        </w:rPr>
        <w:fldChar w:fldCharType="begin" w:fldLock="1"/>
      </w:r>
      <w:r w:rsidRPr="00F3553B">
        <w:rPr>
          <w:lang w:val="de-DE"/>
        </w:rPr>
        <w:instrText>ADDIN CSL_CITATION {"citationItems":[{"id":"ITEM-1","itemData":{"DOI":"10.1007/s00432-008-0533-9","ISSN":"01715216","PMID":"19125299","abstract":"Introduction: We develop a multiplex quantitative real-time PCR for synchronized analysis of mitochondrial DNA (mtDNA) and nuclear DNA (nDNA) to investigate relative mtDNA abundance in paired normal and cancerous breast tissues. Materials and methods: The amounts of nDNA and mtDNA in 102 tissue samples were quantified for both glyceraldehype-3-phosphodehydrogenase (GAPDH) gene and mtDNA encoded ATPase (MTATP) 8 gene. The average threshold cycle (Ct) number values of the nDNA and mtDNA were used to calculate relative mtDNA content in breast tissues. Results: The median delta Ct (ΔCt) and the median mtDNA content for normal and cancerous breast tissues were 6.73 and 2.54, as well as 106.50 and 5.80 (P = 0.000, respectively). The mtDNA content was decreased in 82% of cancerous breast tissues compared with the normal ones. The changes were associated with hormone receptor status. Conclusion: Our finding suggests that decreased mtDNA content in breast cancer may have diagnostic and prognostic value for the disease. © 2008 Springer-Verlag.","author":[{"dropping-particle":"","family":"Fan","given":"Alex Xiu Cheng","non-dropping-particle":"","parse-names":false,"suffix":""},{"dropping-particle":"","family":"Radpour","given":"Ramin","non-dropping-particle":"","parse-names":false,"suffix":""},{"dropping-particle":"","family":"Haghighi","given":"Mahdi Montazer","non-dropping-particle":"","parse-names":false,"suffix":""},{"dropping-particle":"","family":"Kohler","given":"Corina","non-dropping-particle":"","parse-names":false,"suffix":""},{"dropping-particle":"","family":"Xia","given":"Peng","non-dropping-particle":"","parse-names":false,"suffix":""},{"dropping-particle":"","family":"Hahn","given":"Sinuhe","non-dropping-particle":"","parse-names":false,"suffix":""},{"dropping-particle":"","family":"Holzgreve","given":"Wolfgang","non-dropping-particle":"","parse-names":false,"suffix":""},{"dropping-particle":"","family":"Zhong","given":"Xiao Yan","non-dropping-particle":"","parse-names":false,"suffix":""}],"container-title":"Journal of Cancer Research and Clinical Oncology","id":"ITEM-1","issue":"8","issued":{"date-parts":[["2009"]]},"page":"983-989","title":"Mitochondrial DNA content in paired normal and cancerous breast tissue samples from patients with breast cancer","type":"article-journal","volume":"135"},"uris":["http://www.mendeley.com/documents/?uuid=eee2ea8c-15ad-491b-b929-5f6c70e05fb9"]}],"mendeley":{"formattedCitation":"[10]","plainTextFormattedCitation":"[10]","previouslyFormattedCitation":"[10]"},"properties":{"noteIndex":0},"schema":"https://github.com/citation-style-language/schema/raw/master/csl-citation.json"}</w:instrText>
      </w:r>
      <w:r w:rsidRPr="00F3553B">
        <w:rPr>
          <w:lang w:val="de-DE"/>
        </w:rPr>
        <w:fldChar w:fldCharType="separate"/>
      </w:r>
      <w:r w:rsidRPr="00F3553B">
        <w:rPr>
          <w:noProof/>
          <w:lang w:val="de-DE"/>
        </w:rPr>
        <w:t>[10]</w:t>
      </w:r>
      <w:r w:rsidRPr="00F3553B">
        <w:fldChar w:fldCharType="end"/>
      </w:r>
      <w:r w:rsidRPr="00F3553B">
        <w:rPr>
          <w:lang w:val="de-DE"/>
        </w:rPr>
        <w:t>.</w:t>
      </w:r>
    </w:p>
    <w:p w14:paraId="163574A4" w14:textId="3F4F93BC" w:rsidR="009C683C" w:rsidRPr="00F3553B" w:rsidRDefault="009C683C" w:rsidP="00F3553B">
      <w:pPr>
        <w:pStyle w:val="noidungctrla"/>
        <w:rPr>
          <w:lang w:val="vi-VN"/>
        </w:rPr>
      </w:pPr>
      <w:r w:rsidRPr="00F3553B">
        <w:rPr>
          <w:i/>
          <w:iCs/>
          <w:lang w:val="de-DE"/>
        </w:rPr>
        <w:t>Tính toán thống kê</w:t>
      </w:r>
      <w:r w:rsidRPr="00F3553B">
        <w:rPr>
          <w:lang w:val="de-DE"/>
        </w:rPr>
        <w:t xml:space="preserve">: số liệu thu được được phân tích và xử lý thống kê bằng cách sử dụng Graphpad Prism phiên bản 8.4.2 dành cho Windows (GraphPad Software, San Diego, California, USA). Sử dụng các kiểm định thường dùng để </w:t>
      </w:r>
      <w:r w:rsidRPr="00F3553B">
        <w:rPr>
          <w:lang w:val="vi-VN"/>
        </w:rPr>
        <w:t xml:space="preserve">kiểm tra phân bố của dữ liệu </w:t>
      </w:r>
      <w:r w:rsidRPr="00F3553B">
        <w:rPr>
          <w:lang w:val="de-DE"/>
        </w:rPr>
        <w:t xml:space="preserve">và </w:t>
      </w:r>
      <w:r w:rsidRPr="00F3553B">
        <w:rPr>
          <w:lang w:val="vi-VN"/>
        </w:rPr>
        <w:t xml:space="preserve">đánh giá sự khác biệt về </w:t>
      </w:r>
      <w:r w:rsidRPr="00F3553B">
        <w:rPr>
          <w:lang w:val="de-DE"/>
        </w:rPr>
        <w:t xml:space="preserve">mức độ mất đoạn và số bản sao </w:t>
      </w:r>
      <w:r w:rsidRPr="00F3553B">
        <w:rPr>
          <w:lang w:val="vi-VN"/>
        </w:rPr>
        <w:t xml:space="preserve">trong các nhóm mẫu nghiên cứu. Giá trị </w:t>
      </w:r>
      <w:r w:rsidRPr="00F3553B">
        <w:rPr>
          <w:i/>
          <w:lang w:val="vi-VN"/>
        </w:rPr>
        <w:t>P</w:t>
      </w:r>
      <w:r w:rsidRPr="00F3553B">
        <w:rPr>
          <w:lang w:val="vi-VN"/>
        </w:rPr>
        <w:t xml:space="preserve"> nhỏ hơn 0,05 được coi là có ý nghĩa thống kê. </w:t>
      </w:r>
    </w:p>
    <w:p w14:paraId="1BC88249" w14:textId="77777777" w:rsidR="009C683C" w:rsidRPr="00F3553B" w:rsidRDefault="009C683C" w:rsidP="00F3553B">
      <w:pPr>
        <w:pStyle w:val="modauctri5"/>
        <w:rPr>
          <w:lang w:val="pt-BR"/>
        </w:rPr>
      </w:pPr>
      <w:r w:rsidRPr="00F3553B">
        <w:rPr>
          <w:lang w:val="vi-VN"/>
        </w:rPr>
        <w:t>3</w:t>
      </w:r>
      <w:r w:rsidRPr="00F3553B">
        <w:rPr>
          <w:lang w:val="pt-BR"/>
        </w:rPr>
        <w:t>. Kết quả và thảo luận</w:t>
      </w:r>
    </w:p>
    <w:p w14:paraId="763AE1AA" w14:textId="77777777" w:rsidR="009C683C" w:rsidRPr="00F3553B" w:rsidRDefault="009C683C" w:rsidP="00F3553B">
      <w:pPr>
        <w:pStyle w:val="motnhoctrl6"/>
      </w:pPr>
      <w:r w:rsidRPr="00F3553B">
        <w:t>3.1. Đặc điểm của bệnh nhân mắc phổ bệnh viêm tủy thị thần kinh</w:t>
      </w:r>
    </w:p>
    <w:p w14:paraId="4BF02AF9" w14:textId="49DEB6C3" w:rsidR="009C683C" w:rsidRPr="00F3553B" w:rsidRDefault="009C683C" w:rsidP="00F3553B">
      <w:pPr>
        <w:pStyle w:val="noidungctrla"/>
        <w:rPr>
          <w:lang w:val="vi-VN"/>
        </w:rPr>
      </w:pPr>
      <w:r w:rsidRPr="00F3553B">
        <w:rPr>
          <w:lang w:val="vi-VN"/>
        </w:rPr>
        <w:t xml:space="preserve">Nghiên cứu </w:t>
      </w:r>
      <w:r w:rsidRPr="00F3553B">
        <w:rPr>
          <w:lang w:val="de-DE"/>
        </w:rPr>
        <w:t>được</w:t>
      </w:r>
      <w:r w:rsidRPr="00F3553B">
        <w:rPr>
          <w:lang w:val="vi-VN"/>
        </w:rPr>
        <w:t xml:space="preserve"> hiện trên 45 mẫu máu</w:t>
      </w:r>
      <w:r w:rsidRPr="00F3553B">
        <w:rPr>
          <w:lang w:val="de-DE"/>
        </w:rPr>
        <w:t xml:space="preserve"> bao gồm 16 bệnh nhân dương tính với AQP4-IgG và 29 bệnh nhân âm tính với AQP4-IgG</w:t>
      </w:r>
      <w:r w:rsidRPr="00F3553B">
        <w:rPr>
          <w:lang w:val="vi-VN"/>
        </w:rPr>
        <w:t xml:space="preserve"> của bệnh nhân được chẩn đoán mắc NMOSD. Tuổi trung bình của bệnh nhân là 43,13±13,57 (trung bình cộng±độ lệch chuẩn). Bệnh nhân </w:t>
      </w:r>
      <w:r w:rsidR="00F854C4" w:rsidRPr="00F3553B">
        <w:rPr>
          <w:lang w:val="vi-VN"/>
        </w:rPr>
        <w:t>nhỏ</w:t>
      </w:r>
      <w:r w:rsidRPr="00F3553B">
        <w:rPr>
          <w:lang w:val="vi-VN"/>
        </w:rPr>
        <w:t xml:space="preserve"> tuổi nhất là 18 tuổi, </w:t>
      </w:r>
      <w:r w:rsidR="00F854C4" w:rsidRPr="00F3553B">
        <w:rPr>
          <w:lang w:val="vi-VN"/>
        </w:rPr>
        <w:t>lớn</w:t>
      </w:r>
      <w:r w:rsidRPr="00F3553B">
        <w:rPr>
          <w:lang w:val="vi-VN"/>
        </w:rPr>
        <w:t xml:space="preserve"> tuổi nhất là 73 tuổi với 40% nằm ở khoảng 32-46 tuổi. Trong số các bệnh nhân này, có 11/45 (22,44%) bệnh nhân nam, 34/45 (75,56%) bệnh nhân nữ với tỷ lệ nam:nữ ~ 1:3 (Bảng 1). </w:t>
      </w:r>
    </w:p>
    <w:p w14:paraId="57AD61CE" w14:textId="0053121D" w:rsidR="009C683C" w:rsidRPr="00F3553B" w:rsidRDefault="009C683C" w:rsidP="00F3553B">
      <w:pPr>
        <w:pStyle w:val="noidungctrla"/>
        <w:rPr>
          <w:bCs/>
          <w:color w:val="000000"/>
          <w:lang w:val="vi-VN"/>
        </w:rPr>
      </w:pPr>
      <w:r w:rsidRPr="00F3553B">
        <w:rPr>
          <w:bCs/>
          <w:color w:val="000000"/>
          <w:lang w:val="vi-VN"/>
        </w:rPr>
        <w:t xml:space="preserve">Độ tuổi và giới tính của bệnh nhân được thu thập trong nghiên cứu không có sự khác biệt với hai nghiên cứu trước đây của Nguyễn Văn Tuận </w:t>
      </w:r>
      <w:r w:rsidRPr="00F3553B">
        <w:rPr>
          <w:bCs/>
          <w:color w:val="000000"/>
          <w:lang w:val="vi-VN"/>
        </w:rPr>
        <w:lastRenderedPageBreak/>
        <w:t>và cộng sự (2022) và Vũ Văn Khôi và cộng sự (2023) trên đối tượng nghiên cứu là bệnh nhân Việt Nam mắc NMOSD (</w:t>
      </w:r>
      <w:r w:rsidRPr="00F3553B">
        <w:rPr>
          <w:bCs/>
          <w:i/>
          <w:color w:val="000000"/>
          <w:lang w:val="vi-VN"/>
        </w:rPr>
        <w:t>P</w:t>
      </w:r>
      <w:r w:rsidRPr="00F3553B">
        <w:rPr>
          <w:bCs/>
          <w:color w:val="000000"/>
          <w:lang w:val="vi-VN"/>
        </w:rPr>
        <w:t xml:space="preserve">&gt;0,05) </w:t>
      </w:r>
      <w:r w:rsidRPr="00F3553B">
        <w:rPr>
          <w:bCs/>
          <w:color w:val="000000"/>
          <w:lang w:val="vi-VN"/>
        </w:rPr>
        <w:fldChar w:fldCharType="begin" w:fldLock="1"/>
      </w:r>
      <w:r w:rsidRPr="00F3553B">
        <w:rPr>
          <w:bCs/>
          <w:color w:val="000000"/>
          <w:lang w:val="vi-VN"/>
        </w:rPr>
        <w:instrText>ADDIN CSL_CITATION {"citationItems":[{"id":"ITEM-1","itemData":{"DOI":"10.51298/vmj.v520i1.3778","ISSN":"1859-1868","abstract":"Mục tiêu: Mô tả đặc điểm lâm sàng của phổ bệnh viêm tủy thị thần kinh (NMOSD). Đối tượng và phương pháp: nghiên cứu 42 bệnh nhân được điều trị tại trung tâm Thần kinh bệnh viện Bạch Mai và được chẩn đoán xác định NMOSD. Kết quả: Bệnh chủ yếu gặp nữ giới (80,1%), tỉ lệ nữ/ nam ≈ 4:1. Tuổi khởi phát trung bình: 36,3 ± 12,1. Bệnh kèm thêm các bệnh tự miễn khác 15,2%. Có 90,5% bệnh nhân tái phát bệnh. Triệu chứng thường gặp: giảm thị lực 2 bên 45,2 %, liệt vận động và rối loạn cảm giác gặp 90,5%, rối loạn tiểu tiện 66,7%, ngoài ra triệu chứng gặp tỷ lệ thấp hơn như cơn co cứng tăng trương lực cơ 19%, tổn thương tiểu não 14,2%, liệt dây thần kinh sọ não 19%, nôn, nấc 23.8%. Bệnh nhân được chẩn đoán NMOSD dựa trên xét nghiệm kháng thể kháng aquaporin 4 với có tổn thương viêm tủy cấp và viêm thị thần kinh 83,3%, tổn thương khu vực gây nôn 11,9%, hội chứng thân não/tiểu não 14,3%, viêm thị thần kinh đơn thuần 4,8%, hội chứng khu vực gian não 4,8%. Kết luận: Triệu chứng lâm sàng tương ứng với những tổn thương tủy sống cấp tính, viêm thị thần kinh, ngoài ra còn gặp tổn thương ở thân não, gian não và não bán cầu.","author":[{"dropping-particle":"","family":"Văn Tuận","given":"Nguyễn","non-dropping-particle":"","parse-names":false,"suffix":""},{"dropping-particle":"","family":"Văn Sỹ","given":"Nguyễn","non-dropping-particle":"","parse-names":false,"suffix":""}],"container-title":"Tạp chí Y học Việt Nam","id":"ITEM-1","issue":"1A","issued":{"date-parts":[["2022","12","28"]]},"page":"1-6","title":"ĐẶC ĐIỂM LÂM SÀNG CỦA PHỔ BỆNH VIÊM TỦY THỊ THẦN KINH","type":"article-journal","volume":"520"},"uris":["http://www.mendeley.com/documents/?uuid=ca48e519-528a-4059-81e9-97cc4ddcd0e1"]}],"mendeley":{"formattedCitation":"[3]","plainTextFormattedCitation":"[3]","previouslyFormattedCitation":"[3]"},"properties":{"noteIndex":0},"schema":"https://github.com/citation-style-language/schema/raw/master/csl-citation.json"}</w:instrText>
      </w:r>
      <w:r w:rsidRPr="00F3553B">
        <w:rPr>
          <w:bCs/>
          <w:color w:val="000000"/>
          <w:lang w:val="vi-VN"/>
        </w:rPr>
        <w:fldChar w:fldCharType="separate"/>
      </w:r>
      <w:r w:rsidRPr="00F3553B">
        <w:rPr>
          <w:bCs/>
          <w:noProof/>
          <w:color w:val="000000"/>
          <w:lang w:val="vi-VN"/>
        </w:rPr>
        <w:t>[3</w:t>
      </w:r>
      <w:r w:rsidRPr="00F3553B">
        <w:rPr>
          <w:color w:val="000000"/>
        </w:rPr>
        <w:fldChar w:fldCharType="end"/>
      </w:r>
      <w:r w:rsidRPr="00F3553B">
        <w:rPr>
          <w:bCs/>
          <w:color w:val="000000"/>
          <w:lang w:val="vi-VN"/>
        </w:rPr>
        <w:t xml:space="preserve">, </w:t>
      </w:r>
      <w:r w:rsidRPr="00F3553B">
        <w:rPr>
          <w:bCs/>
          <w:color w:val="000000"/>
          <w:lang w:val="vi-VN"/>
        </w:rPr>
        <w:fldChar w:fldCharType="begin" w:fldLock="1"/>
      </w:r>
      <w:r w:rsidRPr="00F3553B">
        <w:rPr>
          <w:bCs/>
          <w:color w:val="000000"/>
          <w:lang w:val="vi-VN"/>
        </w:rPr>
        <w:instrText>ADDIN CSL_CITATION {"citationItems":[{"id":"ITEM-1","itemData":{"DOI":"10.51298/vmj.v521i2.4068","ISSN":"1859-1868","abstract":"Mục tiêu: Phân tích một số yếu tố tiên lượng của phổ bệnh viêm tủy thị thần kinh (NMOSD). Đối tượng và phương pháp nghiên cứu: nghiên cứu mô tả cắt ngang, trên 38 bệnh nhân NMOSD có kháng thể kháng Aquaporin 4 dương tính tại Trung tâm Thần Kinh bệnh viện Bạch Mai. Kết quả: Bệnh nhân nữ chiếm 81,6% và độ tuổi từ 30-49 tuổi chiếm 52,6%, tuổi trung bình 41,9 ± 13,8. Triệu chứng lâm sàng liệt vận động gặp 89,5%, rối loạn cảm giác 86,5%, triệu chứng của thị giác 21,1% và hội chứng thân não 18,4%. Triệu chứng liệt vận động có thể gây tàn tật cao hơn ở bệnh nhân với điểm EDSS tăng có ý nghĩa thống kê giữa nhóm liệt tứ chi với nhóm liệt hai chi cũng như giữa nhóm liệt hai chân và không liệt vận động tương ứng với p=0,007 và 0,015; p=0,013 và 0,011. Tuổi bệnh nhân có tương quan tuyến tính thuận với điểm EDSS trung bình tại cả 2 thời điểm vào viện và ra viện lần lượt với hệ số tương quan r=0,401 và 0,338 với p=0,013 và 0,038, độ tin cậy 95%. Nhóm bệnh nhân không phụ thuộc vào hỗ trợ (EDSS &lt; 6) có độ tuổi thấp hơn có ý nghĩa thống kê so với và bệnh nhân phụ thuộc vào hỗ trợ (EDSS ≥ 6) với p=0,015. Kết luận: Triệu chứng liệt vận động, rối loạn cảm giác và thần kinh thị giác gặp tỷ lệ cao. Triệu chứng liệt vận động ban đầu càng nặng, tuổi càng cao thì mức độ tàn tật của bệnh nhân càng lớn.","author":[{"dropping-particle":"","family":"Vũ","given":"Văn Khôi","non-dropping-particle":"","parse-names":false,"suffix":""},{"dropping-particle":"","family":"Nguyễn","given":"Văn Tuận","non-dropping-particle":"","parse-names":false,"suffix":""}],"container-title":"Tạp chí Y học Việt Nam","id":"ITEM-1","issue":"2","issued":{"date-parts":[["2023","2","15"]]},"page":"2-7","title":"MỘT SỐ YẾU TỐ TIÊN LƯỢNG CỦA PHỔ BỆNH VIÊM TỦY THỊ THẦN KINH","type":"article-journal","volume":"521"},"uris":["http://www.mendeley.com/documents/?uuid=7daf3667-7856-4671-897f-8866a5516a0f"]}],"mendeley":{"formattedCitation":"[4]","plainTextFormattedCitation":"[4]","previouslyFormattedCitation":"[4]"},"properties":{"noteIndex":0},"schema":"https://github.com/citation-style-language/schema/raw/master/csl-citation.json"}</w:instrText>
      </w:r>
      <w:r w:rsidRPr="00F3553B">
        <w:rPr>
          <w:bCs/>
          <w:color w:val="000000"/>
          <w:lang w:val="vi-VN"/>
        </w:rPr>
        <w:fldChar w:fldCharType="separate"/>
      </w:r>
      <w:r w:rsidRPr="00F3553B">
        <w:rPr>
          <w:bCs/>
          <w:noProof/>
          <w:color w:val="000000"/>
          <w:lang w:val="vi-VN"/>
        </w:rPr>
        <w:t>4]</w:t>
      </w:r>
      <w:r w:rsidRPr="00F3553B">
        <w:rPr>
          <w:color w:val="000000"/>
        </w:rPr>
        <w:fldChar w:fldCharType="end"/>
      </w:r>
      <w:r w:rsidRPr="00F3553B">
        <w:rPr>
          <w:bCs/>
          <w:color w:val="000000"/>
          <w:lang w:val="vi-VN"/>
        </w:rPr>
        <w:t xml:space="preserve">. Mặt khác, kết quả này cũng tương đồng với nhiều nghiên cứu khác trên thế giới khi bệnh nhân NMOSD thường gặp ở độ tuổi trung niên với tỷ lệ mắc bệnh ở nữ nhiều hơn nam </w:t>
      </w:r>
      <w:r w:rsidRPr="00F3553B">
        <w:rPr>
          <w:bCs/>
          <w:color w:val="000000"/>
          <w:lang w:val="vi-VN"/>
        </w:rPr>
        <w:fldChar w:fldCharType="begin" w:fldLock="1"/>
      </w:r>
      <w:r w:rsidRPr="00F3553B">
        <w:rPr>
          <w:bCs/>
          <w:color w:val="000000"/>
          <w:lang w:val="vi-VN"/>
        </w:rPr>
        <w:instrText>ADDIN CSL_CITATION {"citationItems":[{"id":"ITEM-1","itemData":{"DOI":"10.1177/1352458515572406","author":[{"dropping-particle":"","family":"Pandit","given":"L","non-dropping-particle":"","parse-names":false,"suffix":""},{"dropping-particle":"","family":"Asgari","given":"N","non-dropping-particle":"","parse-names":false,"suffix":""},{"dropping-particle":"","family":"Apiwattanakul","given":"M","non-dropping-particle":"","parse-names":false,"suffix":""},{"dropping-particle":"","family":"Palace","given":"J","non-dropping-particle":"","parse-names":false,"suffix":""},{"dropping-particle":"","family":"Paul","given":"F","non-dropping-particle":"","parse-names":false,"suffix":""},{"dropping-particle":"","family":"Mi","given":"Leite","non-dropping-particle":"","parse-names":false,"suffix":""},{"dropping-particle":"","family":"Kleiter","given":"I","non-dropping-particle":"","parse-names":false,"suffix":""},{"dropping-particle":"","family":"Chitnis","given":"T","non-dropping-particle":"","parse-names":false,"suffix":""}],"id":"ITEM-1","issued":{"date-parts":[["2015"]]},"page":"845-853","title":"Demographic and clinical features of neuromyelitis optica : A review","type":"article-journal"},"uris":["http://www.mendeley.com/documents/?uuid=c26efbf8-1552-48cb-ab60-b39b376d1a9e"]}],"mendeley":{"formattedCitation":"[2]","plainTextFormattedCitation":"[2]","previouslyFormattedCitation":"[2]"},"properties":{"noteIndex":0},"schema":"https://github.com/citation-style-language/schema/raw/master/csl-citation.json"}</w:instrText>
      </w:r>
      <w:r w:rsidRPr="00F3553B">
        <w:rPr>
          <w:bCs/>
          <w:color w:val="000000"/>
          <w:lang w:val="vi-VN"/>
        </w:rPr>
        <w:fldChar w:fldCharType="separate"/>
      </w:r>
      <w:r w:rsidRPr="00F3553B">
        <w:rPr>
          <w:bCs/>
          <w:noProof/>
          <w:color w:val="000000"/>
          <w:lang w:val="vi-VN"/>
        </w:rPr>
        <w:t>[2]</w:t>
      </w:r>
      <w:r w:rsidRPr="00F3553B">
        <w:rPr>
          <w:color w:val="000000"/>
        </w:rPr>
        <w:fldChar w:fldCharType="end"/>
      </w:r>
      <w:r w:rsidRPr="00F3553B">
        <w:rPr>
          <w:bCs/>
          <w:color w:val="000000"/>
          <w:lang w:val="vi-VN"/>
        </w:rPr>
        <w:t xml:space="preserve">. </w:t>
      </w:r>
    </w:p>
    <w:p w14:paraId="318E0363" w14:textId="067F3E69" w:rsidR="009C683C" w:rsidRPr="00F3553B" w:rsidRDefault="009C683C" w:rsidP="00F3553B">
      <w:pPr>
        <w:pStyle w:val="motnhoctrl6"/>
      </w:pPr>
      <w:r w:rsidRPr="00F3553B">
        <w:t xml:space="preserve">3.2. Mức độ mất đoạn </w:t>
      </w:r>
      <w:r w:rsidRPr="00F3553B">
        <w:rPr>
          <w:lang w:val="pt-BR"/>
        </w:rPr>
        <w:t xml:space="preserve">lớn </w:t>
      </w:r>
      <w:r w:rsidRPr="00F3553B">
        <w:t xml:space="preserve">và số bản sao DNA </w:t>
      </w:r>
      <w:r w:rsidR="003E1EF7" w:rsidRPr="00F3553B">
        <w:br/>
      </w:r>
      <w:r w:rsidRPr="00F3553B">
        <w:t>ty thể ở bệnh nhân mắc phổ bệnh viêm tủy thị thần kinh</w:t>
      </w:r>
    </w:p>
    <w:p w14:paraId="3024C7DB" w14:textId="6BC5FB39" w:rsidR="009C683C" w:rsidRPr="00F3553B" w:rsidRDefault="009C683C" w:rsidP="00F3553B">
      <w:pPr>
        <w:pStyle w:val="noidungctrla"/>
        <w:rPr>
          <w:lang w:val="vi-VN"/>
        </w:rPr>
      </w:pPr>
      <w:r w:rsidRPr="00F3553B">
        <w:rPr>
          <w:lang w:val="vi-VN"/>
        </w:rPr>
        <w:t xml:space="preserve">Trong nghiên cứu này, mức độ mất đoạn và số bản sao mtDNA được xác định bằng phương pháp PCR định lượng dựa vào sự có mặt của các gen </w:t>
      </w:r>
      <w:r w:rsidRPr="00F3553B">
        <w:rPr>
          <w:i/>
          <w:lang w:val="vi-VN"/>
        </w:rPr>
        <w:t>ND1, ND4 và HBB</w:t>
      </w:r>
      <w:r w:rsidRPr="00F3553B">
        <w:rPr>
          <w:lang w:val="vi-VN"/>
        </w:rPr>
        <w:t xml:space="preserve">. Đường cong nóng chảy giúp đánh giá tính đặc hiệu của phản ứng dựa vào số đỉnh và hình dạng đỉnh của các đường biểu diễn nhiệt độ nóng chảy. Sơ đồ khuếch đại thể hiện sự tích lũy sản phẩm trong suốt thời gian thực hiện phản ứng PCR định lượng </w:t>
      </w:r>
      <w:r w:rsidRPr="00F3553B">
        <w:fldChar w:fldCharType="begin" w:fldLock="1"/>
      </w:r>
      <w:r w:rsidRPr="00F3553B">
        <w:rPr>
          <w:lang w:val="vi-VN"/>
        </w:rPr>
        <w:instrText>ADDIN CSL_CITATION {"citationItems":[{"id":"ITEM-1","itemData":{"DOI":"10.1042/BIO20200034","ISSN":"0954-982X","abstract":"The development of the polymerase chain reaction (PCR), for which Kary Mullis received the 1992 Novel Prize in Chemistry, revolutionized molecular biology. At around the time that prize was awarded, research was being carried out by Russel Higuchi which led to the discovery that PCR can be monitored using fluorescent probes, facilitating quantitative real-time PCR (qPCR). In addition, the earlier discovery of reverse transcriptase (in 1970) laid the groundwork for the development of RT-PCR (used in molecular cloning). The latter can be coupled to qPCR, termed RT-qPCR, allowing analysis of gene expression through messenger RNA (mRNA) quantitation. These techniques and their applications have transformed life science research and clinical diagnosis.","author":[{"dropping-particle":"","family":"Adams","given":"Grace","non-dropping-particle":"","parse-names":false,"suffix":""}],"container-title":"The Biochemist","id":"ITEM-1","issue":"3","issued":{"date-parts":[["2020","6","23"]]},"page":"48-53","title":"A beginner’s guide to RT-PCR, qPCR and RT-qPCR","type":"article-journal","volume":"42"},"uris":["http://www.mendeley.com/documents/?uuid=222c516a-aa71-425e-ab9d-301928378c15"]}],"mendeley":{"formattedCitation":"[11]","plainTextFormattedCitation":"[11]","previouslyFormattedCitation":"[11]"},"properties":{"noteIndex":0},"schema":"https://github.com/citation-style-language/schema/raw/master/csl-citation.json"}</w:instrText>
      </w:r>
      <w:r w:rsidRPr="00F3553B">
        <w:fldChar w:fldCharType="separate"/>
      </w:r>
      <w:r w:rsidRPr="00F3553B">
        <w:rPr>
          <w:noProof/>
          <w:lang w:val="vi-VN"/>
        </w:rPr>
        <w:t>[11]</w:t>
      </w:r>
      <w:r w:rsidRPr="00F3553B">
        <w:fldChar w:fldCharType="end"/>
      </w:r>
      <w:r w:rsidRPr="00F3553B">
        <w:rPr>
          <w:lang w:val="vi-VN"/>
        </w:rPr>
        <w:t xml:space="preserve">. Phân tích kết quả thu được cho thấy phản ứng PCR định lượng không có sản phẩm phụ với nhiệt độ nóng chảy của các gen </w:t>
      </w:r>
      <w:r w:rsidRPr="00F3553B">
        <w:rPr>
          <w:i/>
          <w:lang w:val="vi-VN"/>
        </w:rPr>
        <w:t>ND1, ND4, HBB</w:t>
      </w:r>
      <w:r w:rsidRPr="00F3553B">
        <w:rPr>
          <w:lang w:val="vi-VN"/>
        </w:rPr>
        <w:t xml:space="preserve"> tương ứng là 82,0±0,5 </w:t>
      </w:r>
      <w:r w:rsidRPr="00F3553B">
        <w:rPr>
          <w:vertAlign w:val="superscript"/>
          <w:lang w:val="vi-VN"/>
        </w:rPr>
        <w:t>o</w:t>
      </w:r>
      <w:r w:rsidRPr="00F3553B">
        <w:rPr>
          <w:lang w:val="vi-VN"/>
        </w:rPr>
        <w:t xml:space="preserve">C; 84,0±0,5 </w:t>
      </w:r>
      <w:r w:rsidRPr="00F3553B">
        <w:rPr>
          <w:vertAlign w:val="superscript"/>
          <w:lang w:val="vi-VN"/>
        </w:rPr>
        <w:t>o</w:t>
      </w:r>
      <w:r w:rsidRPr="00F3553B">
        <w:rPr>
          <w:lang w:val="vi-VN"/>
        </w:rPr>
        <w:t xml:space="preserve">C và 85,0±0,5 </w:t>
      </w:r>
      <w:r w:rsidRPr="00F3553B">
        <w:rPr>
          <w:vertAlign w:val="superscript"/>
          <w:lang w:val="vi-VN"/>
        </w:rPr>
        <w:t>o</w:t>
      </w:r>
      <w:r w:rsidRPr="00F3553B">
        <w:rPr>
          <w:lang w:val="vi-VN"/>
        </w:rPr>
        <w:t>C (Hình 1A). Bên cạnh đó, biểu đồ khuếch đại thể hiện được giá trị Ct thu được của các mẫu nằm trong khoảng 10-28 (Hình 1B) chứng tỏ các cặp mồi đã nhân bản đặc hiệu được các gen quan tâm và có thể được sử dụng để định lượng. Thông qua giá trị Ct đã xác định được mức độ mất đoạn lớn và số bản sao mtDNA trong các mẫu nghiên cứu.</w:t>
      </w:r>
    </w:p>
    <w:p w14:paraId="5149E5E0" w14:textId="77777777" w:rsidR="003E1EF7" w:rsidRPr="00F3553B" w:rsidRDefault="003E1EF7" w:rsidP="00F3553B">
      <w:pPr>
        <w:pBdr>
          <w:top w:val="nil"/>
          <w:left w:val="nil"/>
          <w:bottom w:val="nil"/>
          <w:right w:val="nil"/>
          <w:between w:val="nil"/>
        </w:pBdr>
        <w:spacing w:before="60" w:after="60" w:line="240" w:lineRule="auto"/>
        <w:jc w:val="center"/>
        <w:rPr>
          <w:rFonts w:ascii="Times New Roman" w:eastAsia="Times New Roman" w:hAnsi="Times New Roman" w:cs="Times New Roman"/>
          <w:color w:val="000000"/>
          <w:lang w:val="vi-VN"/>
        </w:rPr>
        <w:sectPr w:rsidR="003E1EF7" w:rsidRPr="00F3553B" w:rsidSect="003E1EF7">
          <w:type w:val="continuous"/>
          <w:pgSz w:w="11907" w:h="16840" w:code="9"/>
          <w:pgMar w:top="2041" w:right="1418" w:bottom="2438" w:left="1418" w:header="1531" w:footer="2098" w:gutter="0"/>
          <w:cols w:num="2" w:space="567"/>
          <w:docGrid w:linePitch="360"/>
        </w:sectPr>
      </w:pPr>
    </w:p>
    <w:p w14:paraId="0E13DCB3" w14:textId="05921C07" w:rsidR="009C683C" w:rsidRPr="00F3553B" w:rsidRDefault="009C683C" w:rsidP="00F3553B">
      <w:pPr>
        <w:pBdr>
          <w:top w:val="nil"/>
          <w:left w:val="nil"/>
          <w:bottom w:val="nil"/>
          <w:right w:val="nil"/>
          <w:between w:val="nil"/>
        </w:pBdr>
        <w:spacing w:before="200" w:after="60" w:line="240" w:lineRule="auto"/>
        <w:jc w:val="center"/>
        <w:rPr>
          <w:rFonts w:ascii="Times New Roman" w:eastAsia="Times New Roman" w:hAnsi="Times New Roman" w:cs="Times New Roman"/>
          <w:color w:val="000000"/>
        </w:rPr>
      </w:pPr>
      <w:r w:rsidRPr="00F3553B">
        <w:rPr>
          <w:rFonts w:ascii="Times New Roman" w:eastAsia="Times New Roman" w:hAnsi="Times New Roman" w:cs="Times New Roman"/>
          <w:noProof/>
          <w:color w:val="000000"/>
        </w:rPr>
        <w:lastRenderedPageBreak/>
        <w:drawing>
          <wp:inline distT="0" distB="0" distL="0" distR="0" wp14:anchorId="34FD1D3E" wp14:editId="42CDCFEB">
            <wp:extent cx="3988013" cy="20095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h_Bbao_mtDNA_NMOSD_18112024_Fig1.tif"/>
                    <pic:cNvPicPr/>
                  </pic:nvPicPr>
                  <pic:blipFill rotWithShape="1">
                    <a:blip r:embed="rId19" cstate="print">
                      <a:extLst>
                        <a:ext uri="{28A0092B-C50C-407E-A947-70E740481C1C}">
                          <a14:useLocalDpi xmlns:a14="http://schemas.microsoft.com/office/drawing/2010/main" val="0"/>
                        </a:ext>
                      </a:extLst>
                    </a:blip>
                    <a:srcRect l="1762" t="9768" r="1875" b="3914"/>
                    <a:stretch/>
                  </pic:blipFill>
                  <pic:spPr bwMode="auto">
                    <a:xfrm>
                      <a:off x="0" y="0"/>
                      <a:ext cx="4023408" cy="2027393"/>
                    </a:xfrm>
                    <a:prstGeom prst="rect">
                      <a:avLst/>
                    </a:prstGeom>
                    <a:ln>
                      <a:noFill/>
                    </a:ln>
                    <a:extLst>
                      <a:ext uri="{53640926-AAD7-44D8-BBD7-CCE9431645EC}">
                        <a14:shadowObscured xmlns:a14="http://schemas.microsoft.com/office/drawing/2010/main"/>
                      </a:ext>
                    </a:extLst>
                  </pic:spPr>
                </pic:pic>
              </a:graphicData>
            </a:graphic>
          </wp:inline>
        </w:drawing>
      </w:r>
    </w:p>
    <w:p w14:paraId="2B068516" w14:textId="51B65E24" w:rsidR="009C683C" w:rsidRPr="00F3553B" w:rsidRDefault="009C683C" w:rsidP="00F3553B">
      <w:pPr>
        <w:pStyle w:val="tenbangctrl8"/>
        <w:spacing w:after="0"/>
        <w:rPr>
          <w:lang w:val="pt-BR"/>
        </w:rPr>
      </w:pPr>
      <w:r w:rsidRPr="00F3553B">
        <w:rPr>
          <w:lang w:val="pt-BR"/>
        </w:rPr>
        <w:t>Hình 1. A: Đường cong nóng chảy; B: Biểu đồ khuếch đại của phản ứng PCR định lượng.</w:t>
      </w:r>
    </w:p>
    <w:p w14:paraId="6399AC2A" w14:textId="77777777" w:rsidR="003E1EF7" w:rsidRPr="00F3553B" w:rsidRDefault="003E1EF7" w:rsidP="00F3553B">
      <w:pPr>
        <w:pStyle w:val="noidungctrla"/>
        <w:rPr>
          <w:lang w:val="vi-VN"/>
        </w:rPr>
        <w:sectPr w:rsidR="003E1EF7" w:rsidRPr="00F3553B" w:rsidSect="003E1EF7">
          <w:type w:val="continuous"/>
          <w:pgSz w:w="11907" w:h="16840" w:code="9"/>
          <w:pgMar w:top="2041" w:right="1418" w:bottom="2438" w:left="1418" w:header="1531" w:footer="2098" w:gutter="0"/>
          <w:cols w:space="567"/>
          <w:docGrid w:linePitch="360"/>
        </w:sectPr>
      </w:pPr>
    </w:p>
    <w:p w14:paraId="342C7077" w14:textId="43EC843B" w:rsidR="009C683C" w:rsidRPr="00F3553B" w:rsidRDefault="009C683C" w:rsidP="00F3553B">
      <w:pPr>
        <w:pStyle w:val="noidungctrla"/>
        <w:rPr>
          <w:lang w:val="vi-VN"/>
        </w:rPr>
      </w:pPr>
      <w:r w:rsidRPr="00F3553B">
        <w:rPr>
          <w:lang w:val="vi-VN"/>
        </w:rPr>
        <w:lastRenderedPageBreak/>
        <w:t>Phép kiểm định Shapiro-Wilk được sử dụng để kiểm tra phân bố của dữ liệu thu được. Kết quả đã cho thấy dữ liệu định lượng hai dạng biến đổi mtDNA ở mẫu máu của bệnh nhân mắc NMOSD không tuân theo phân phối chuẩn (</w:t>
      </w:r>
      <w:r w:rsidRPr="00F3553B">
        <w:rPr>
          <w:i/>
          <w:iCs/>
          <w:lang w:val="vi-VN"/>
        </w:rPr>
        <w:t>P</w:t>
      </w:r>
      <w:r w:rsidRPr="00F3553B">
        <w:rPr>
          <w:lang w:val="vi-VN"/>
        </w:rPr>
        <w:t>&lt;0,05). Do đó, kiểm định phi tham số được sử dụng để đánh giá sự khác biệt về mức độ mất đoạn lớn và số bản sao mtDNA ở các mẫu nghiên cứu, số liệu được biểu diễn bằng giá trị trung vị (Me) và khoảng tứ phân vị 25%-75%.</w:t>
      </w:r>
    </w:p>
    <w:p w14:paraId="27E3460C" w14:textId="77777777" w:rsidR="009C683C" w:rsidRPr="00F3553B" w:rsidRDefault="009C683C" w:rsidP="00F3553B">
      <w:pPr>
        <w:pStyle w:val="noidungctrla"/>
        <w:rPr>
          <w:lang w:val="vi-VN"/>
        </w:rPr>
      </w:pPr>
      <w:r w:rsidRPr="00F3553B">
        <w:rPr>
          <w:lang w:val="vi-VN"/>
        </w:rPr>
        <w:t xml:space="preserve">Khi so sánh dữ liệu mức độ mất đoạn lớn và số bản sao mtDNA ở mẫu máu của nhóm bệnh </w:t>
      </w:r>
      <w:r w:rsidRPr="00F3553B">
        <w:rPr>
          <w:lang w:val="vi-VN"/>
        </w:rPr>
        <w:lastRenderedPageBreak/>
        <w:t>nhân NMOSD với nhóm đối chứng bình thường, kết quả cho thấy nhóm bệnh nhân mắc NMOSD dương tính với AQP4-IgG có cả mức độ mất đoạn lớn và số bản sao tương đối mtDNA đều lớn hơn so với nhóm đối chứng (</w:t>
      </w:r>
      <w:r w:rsidRPr="00F3553B">
        <w:rPr>
          <w:i/>
          <w:iCs/>
          <w:lang w:val="vi-VN"/>
        </w:rPr>
        <w:t>P</w:t>
      </w:r>
      <w:r w:rsidRPr="00F3553B">
        <w:rPr>
          <w:lang w:val="vi-VN"/>
        </w:rPr>
        <w:t>&lt;0,05). Đồng thời, mức độ mất đoạn lớn và số bản sao tương đối mtDNA của nhóm bệnh nhân mắc NMOSD cũng cao hơn nhóm đối chứng (</w:t>
      </w:r>
      <w:r w:rsidRPr="00F3553B">
        <w:rPr>
          <w:i/>
          <w:iCs/>
          <w:lang w:val="vi-VN"/>
        </w:rPr>
        <w:t>P</w:t>
      </w:r>
      <w:r w:rsidRPr="00F3553B">
        <w:rPr>
          <w:lang w:val="vi-VN"/>
        </w:rPr>
        <w:t>&lt;0,05) với trung vị (khoảng tứ phân vị 25%-75%) lần lượt là 77,00 (59,95-91,31) so với 52,75 (47,98-55,34) và 245,6 (111,80-602,60) so với 150,43 (111,33-242,09) (Hình 2).</w:t>
      </w:r>
    </w:p>
    <w:p w14:paraId="47040CC7" w14:textId="77777777" w:rsidR="003E1EF7" w:rsidRPr="00F3553B" w:rsidRDefault="003E1EF7" w:rsidP="00F3553B">
      <w:pPr>
        <w:pBdr>
          <w:top w:val="nil"/>
          <w:left w:val="nil"/>
          <w:bottom w:val="nil"/>
          <w:right w:val="nil"/>
          <w:between w:val="nil"/>
        </w:pBdr>
        <w:spacing w:before="60" w:after="60" w:line="240" w:lineRule="auto"/>
        <w:jc w:val="center"/>
        <w:rPr>
          <w:rFonts w:ascii="Times New Roman" w:eastAsia="Times New Roman" w:hAnsi="Times New Roman" w:cs="Times New Roman"/>
          <w:bCs/>
          <w:color w:val="000000"/>
          <w:lang w:val="vi-VN"/>
        </w:rPr>
        <w:sectPr w:rsidR="003E1EF7" w:rsidRPr="00F3553B" w:rsidSect="003E1EF7">
          <w:type w:val="continuous"/>
          <w:pgSz w:w="11907" w:h="16840" w:code="9"/>
          <w:pgMar w:top="2041" w:right="1418" w:bottom="2438" w:left="1418" w:header="1531" w:footer="2098" w:gutter="0"/>
          <w:cols w:num="2" w:space="567"/>
          <w:docGrid w:linePitch="360"/>
        </w:sectPr>
      </w:pPr>
    </w:p>
    <w:p w14:paraId="5502F268" w14:textId="196EB435" w:rsidR="009C683C" w:rsidRPr="00F3553B" w:rsidRDefault="009C683C" w:rsidP="00F3553B">
      <w:pPr>
        <w:pBdr>
          <w:top w:val="nil"/>
          <w:left w:val="nil"/>
          <w:bottom w:val="nil"/>
          <w:right w:val="nil"/>
          <w:between w:val="nil"/>
        </w:pBdr>
        <w:spacing w:before="240" w:after="60" w:line="240" w:lineRule="auto"/>
        <w:jc w:val="center"/>
        <w:rPr>
          <w:rFonts w:ascii="Times New Roman" w:eastAsia="Times New Roman" w:hAnsi="Times New Roman" w:cs="Times New Roman"/>
          <w:bCs/>
          <w:color w:val="000000"/>
          <w:lang w:val="vi-VN"/>
        </w:rPr>
      </w:pPr>
      <w:r w:rsidRPr="00F3553B">
        <w:rPr>
          <w:rFonts w:ascii="Times New Roman" w:eastAsia="Times New Roman" w:hAnsi="Times New Roman" w:cs="Times New Roman"/>
          <w:bCs/>
          <w:noProof/>
          <w:color w:val="000000"/>
        </w:rPr>
        <w:lastRenderedPageBreak/>
        <w:drawing>
          <wp:inline distT="0" distB="0" distL="0" distR="0" wp14:anchorId="58F5CB32" wp14:editId="219FAD1B">
            <wp:extent cx="5494084" cy="279458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h_Bbao_mtDNA_NMOSD_18112024.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08203" cy="2801770"/>
                    </a:xfrm>
                    <a:prstGeom prst="rect">
                      <a:avLst/>
                    </a:prstGeom>
                  </pic:spPr>
                </pic:pic>
              </a:graphicData>
            </a:graphic>
          </wp:inline>
        </w:drawing>
      </w:r>
    </w:p>
    <w:p w14:paraId="2629833B" w14:textId="69A9BB99" w:rsidR="009C683C" w:rsidRPr="00F3553B" w:rsidRDefault="009C683C" w:rsidP="00F3553B">
      <w:pPr>
        <w:pStyle w:val="tenbangctrl8"/>
        <w:rPr>
          <w:lang w:val="pt-BR"/>
        </w:rPr>
      </w:pPr>
      <w:r w:rsidRPr="00F3553B">
        <w:rPr>
          <w:lang w:val="pt-BR"/>
        </w:rPr>
        <w:t>Hình 2. Biểu đồ so sánh theo nhóm mẫu, A:</w:t>
      </w:r>
      <w:r w:rsidRPr="00F3553B">
        <w:rPr>
          <w:lang w:val="vi-VN"/>
        </w:rPr>
        <w:t xml:space="preserve"> </w:t>
      </w:r>
      <w:r w:rsidRPr="00F3553B">
        <w:rPr>
          <w:lang w:val="pt-BR"/>
        </w:rPr>
        <w:t>M</w:t>
      </w:r>
      <w:r w:rsidRPr="00F3553B">
        <w:rPr>
          <w:lang w:val="vi-VN"/>
        </w:rPr>
        <w:t>ức độ mất đoạn lớn mtDNA</w:t>
      </w:r>
      <w:r w:rsidRPr="00F3553B">
        <w:rPr>
          <w:lang w:val="pt-BR"/>
        </w:rPr>
        <w:t>, B: Số bản sao tương đối mtDNA.</w:t>
      </w:r>
      <w:r w:rsidRPr="00F3553B">
        <w:rPr>
          <w:lang w:val="pt-BR"/>
        </w:rPr>
        <w:br/>
        <w:t xml:space="preserve">(1)-Nhóm bệnh nhân NMOSD dương tính với AQP4-IgG; (2)-Nhóm bệnh nhân NMOSD âm tính </w:t>
      </w:r>
      <w:r w:rsidR="003E1EF7" w:rsidRPr="00F3553B">
        <w:rPr>
          <w:lang w:val="pt-BR"/>
        </w:rPr>
        <w:br/>
      </w:r>
      <w:r w:rsidRPr="00F3553B">
        <w:rPr>
          <w:lang w:val="pt-BR"/>
        </w:rPr>
        <w:t>với AQP4-IgG; (3)-Nhóm bệnh nhân NMOSD; (4)-Nhóm đối chứng; *-Giá trị P&lt;0,05;</w:t>
      </w:r>
      <w:r w:rsidR="00584E77" w:rsidRPr="00F3553B">
        <w:rPr>
          <w:lang w:val="pt-BR"/>
        </w:rPr>
        <w:br/>
      </w:r>
      <w:r w:rsidRPr="00F3553B">
        <w:rPr>
          <w:lang w:val="pt-BR"/>
        </w:rPr>
        <w:t>***- Giá trị P&lt;0,0001; N-Số lượng mẫu mỗi nhóm).</w:t>
      </w:r>
    </w:p>
    <w:p w14:paraId="7D4B6C9F" w14:textId="77777777" w:rsidR="003E1EF7" w:rsidRPr="00F3553B" w:rsidRDefault="003E1EF7" w:rsidP="00F3553B">
      <w:pPr>
        <w:pStyle w:val="noidungctrla"/>
        <w:rPr>
          <w:lang w:val="vi-VN"/>
        </w:rPr>
        <w:sectPr w:rsidR="003E1EF7" w:rsidRPr="00F3553B" w:rsidSect="003E1EF7">
          <w:type w:val="continuous"/>
          <w:pgSz w:w="11907" w:h="16840" w:code="9"/>
          <w:pgMar w:top="2041" w:right="1418" w:bottom="2438" w:left="1418" w:header="1531" w:footer="2098" w:gutter="0"/>
          <w:cols w:space="567"/>
          <w:docGrid w:linePitch="360"/>
        </w:sectPr>
      </w:pPr>
    </w:p>
    <w:p w14:paraId="219C2D4D" w14:textId="5F7DEF1F" w:rsidR="009C683C" w:rsidRPr="00F3553B" w:rsidRDefault="009C683C" w:rsidP="00F3553B">
      <w:pPr>
        <w:pStyle w:val="noidungctrla"/>
        <w:rPr>
          <w:lang w:val="vi-VN"/>
        </w:rPr>
      </w:pPr>
      <w:r w:rsidRPr="00F3553B">
        <w:rPr>
          <w:lang w:val="vi-VN"/>
        </w:rPr>
        <w:lastRenderedPageBreak/>
        <w:t xml:space="preserve">Do có sự khác biệt về mức độ mất đoạn và </w:t>
      </w:r>
      <w:bookmarkStart w:id="1" w:name="OLE_LINK2"/>
      <w:r w:rsidRPr="00F3553B">
        <w:rPr>
          <w:lang w:val="vi-VN"/>
        </w:rPr>
        <w:t xml:space="preserve">số bản sao </w:t>
      </w:r>
      <w:bookmarkEnd w:id="1"/>
      <w:r w:rsidRPr="00F3553B">
        <w:rPr>
          <w:lang w:val="vi-VN"/>
        </w:rPr>
        <w:t xml:space="preserve">mtDNA giữa nhóm bệnh nhân mắc NMOSD và nhóm đối chứng bình thường, chúng tôi tiến hành xây dựng mô hình tiên lượng nguy cơ mắc bệnh NMOSD dựa vào cả mức độ mất đoạn lớn và số bản sao mtDNA bằng đường cong ROC (Hình 3). Với giá trị diện tích dưới đường cong AUC=0,8397, </w:t>
      </w:r>
      <w:r w:rsidRPr="00F3553B">
        <w:rPr>
          <w:i/>
          <w:lang w:val="vi-VN"/>
        </w:rPr>
        <w:t>P</w:t>
      </w:r>
      <w:r w:rsidRPr="00F3553B">
        <w:rPr>
          <w:lang w:val="vi-VN"/>
        </w:rPr>
        <w:t xml:space="preserve">&lt;0,0001, tại ngưỡng mức độ mất đoạn &gt;61,98% và số bản sao tương đối &gt;344,10 thì mô hình này có khả năng phân biệt đạt 83,97%.  </w:t>
      </w:r>
    </w:p>
    <w:p w14:paraId="7F82A5A8" w14:textId="77777777" w:rsidR="009C683C" w:rsidRPr="00F3553B" w:rsidRDefault="009C683C" w:rsidP="00F3553B">
      <w:pPr>
        <w:pStyle w:val="motnhoctrl6"/>
        <w:spacing w:before="0"/>
      </w:pPr>
      <w:r w:rsidRPr="00F3553B">
        <w:lastRenderedPageBreak/>
        <w:t>3.3. Mối liên quan giữa mức độ mất đoạn lớn và số bản sao mtDNA với đặc điểm của bệnh nhân mắc phổ bệnh viêm tủy thị thần kinh</w:t>
      </w:r>
    </w:p>
    <w:p w14:paraId="521A1132" w14:textId="77777777" w:rsidR="009C683C" w:rsidRPr="00F3553B" w:rsidRDefault="009C683C" w:rsidP="00F3553B">
      <w:pPr>
        <w:pStyle w:val="noidungctrla"/>
        <w:rPr>
          <w:lang w:val="vi-VN"/>
        </w:rPr>
      </w:pPr>
      <w:r w:rsidRPr="00F3553B">
        <w:rPr>
          <w:lang w:val="vi-VN"/>
        </w:rPr>
        <w:t xml:space="preserve">Phân tích mối liên quan với các đặc điểm của bệnh nhân mắc NMOSD cho thấy mức độ mất đoạn lớn và số bản sao tương đối mtDNA không liên quan đến giới tính và kết quả xét nghiệm sự có mặt của AQP4-IgG trong huyết tương của bệnh nhân. Tuy nhiên, số bản sao tương đối mtDNA ở nhóm bệnh nhân nằm trong khoảng </w:t>
      </w:r>
      <w:r w:rsidRPr="00F3553B">
        <w:rPr>
          <w:lang w:val="vi-VN"/>
        </w:rPr>
        <w:lastRenderedPageBreak/>
        <w:t>tuổi từ 33-46 tuổi được phát hiện thấp hơn những bệnh nhân ở lứa tuổi khác (</w:t>
      </w:r>
      <w:r w:rsidRPr="00F3553B">
        <w:rPr>
          <w:i/>
          <w:iCs/>
          <w:lang w:val="vi-VN"/>
        </w:rPr>
        <w:t>P</w:t>
      </w:r>
      <w:r w:rsidRPr="00F3553B">
        <w:rPr>
          <w:lang w:val="vi-VN"/>
        </w:rPr>
        <w:t>=0,04) (Bảng 1).</w:t>
      </w:r>
    </w:p>
    <w:p w14:paraId="4D128C0C" w14:textId="77777777" w:rsidR="009C683C" w:rsidRPr="00F3553B" w:rsidRDefault="009C683C" w:rsidP="00F3553B">
      <w:pPr>
        <w:pBdr>
          <w:top w:val="nil"/>
          <w:left w:val="nil"/>
          <w:bottom w:val="nil"/>
          <w:right w:val="nil"/>
          <w:between w:val="nil"/>
        </w:pBdr>
        <w:spacing w:before="200" w:after="60" w:line="240" w:lineRule="auto"/>
        <w:jc w:val="center"/>
        <w:rPr>
          <w:rFonts w:ascii="Times New Roman" w:eastAsia="Times New Roman" w:hAnsi="Times New Roman" w:cs="Times New Roman"/>
          <w:color w:val="000000"/>
        </w:rPr>
      </w:pPr>
      <w:r w:rsidRPr="00F3553B">
        <w:rPr>
          <w:rFonts w:ascii="Times New Roman" w:eastAsia="Times New Roman" w:hAnsi="Times New Roman" w:cs="Times New Roman"/>
          <w:i/>
          <w:noProof/>
          <w:color w:val="000000"/>
        </w:rPr>
        <w:drawing>
          <wp:inline distT="0" distB="0" distL="0" distR="0" wp14:anchorId="3D283E58" wp14:editId="2AF12ACA">
            <wp:extent cx="2073615" cy="191068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h3_Bbao_mtDNA_NMOSD.tif"/>
                    <pic:cNvPicPr/>
                  </pic:nvPicPr>
                  <pic:blipFill rotWithShape="1">
                    <a:blip r:embed="rId21" cstate="print">
                      <a:extLst>
                        <a:ext uri="{28A0092B-C50C-407E-A947-70E740481C1C}">
                          <a14:useLocalDpi xmlns:a14="http://schemas.microsoft.com/office/drawing/2010/main" val="0"/>
                        </a:ext>
                      </a:extLst>
                    </a:blip>
                    <a:srcRect l="54531" t="25509" r="5270" b="8648"/>
                    <a:stretch/>
                  </pic:blipFill>
                  <pic:spPr bwMode="auto">
                    <a:xfrm>
                      <a:off x="0" y="0"/>
                      <a:ext cx="2138300" cy="1970289"/>
                    </a:xfrm>
                    <a:prstGeom prst="rect">
                      <a:avLst/>
                    </a:prstGeom>
                    <a:ln>
                      <a:noFill/>
                    </a:ln>
                    <a:extLst>
                      <a:ext uri="{53640926-AAD7-44D8-BBD7-CCE9431645EC}">
                        <a14:shadowObscured xmlns:a14="http://schemas.microsoft.com/office/drawing/2010/main"/>
                      </a:ext>
                    </a:extLst>
                  </pic:spPr>
                </pic:pic>
              </a:graphicData>
            </a:graphic>
          </wp:inline>
        </w:drawing>
      </w:r>
    </w:p>
    <w:p w14:paraId="5B937CE1" w14:textId="3FE2225B" w:rsidR="009C683C" w:rsidRPr="00F3553B" w:rsidRDefault="009C683C" w:rsidP="00F3553B">
      <w:pPr>
        <w:pStyle w:val="tenbangctrl8"/>
        <w:rPr>
          <w:lang w:val="pt-BR"/>
        </w:rPr>
      </w:pPr>
      <w:r w:rsidRPr="00F3553B">
        <w:rPr>
          <w:lang w:val="pt-BR"/>
        </w:rPr>
        <w:t xml:space="preserve">Hình 3. Biểu đồ đường cong ROC trong mô hình dự đoán nguy cơ mắc NMOSD dựa </w:t>
      </w:r>
      <w:r w:rsidRPr="00F3553B">
        <w:rPr>
          <w:lang w:val="pt-BR"/>
        </w:rPr>
        <w:br/>
        <w:t>vào mức độ mất đoạn lớn và số bản sao mtDNA.</w:t>
      </w:r>
    </w:p>
    <w:p w14:paraId="5646ED5B" w14:textId="2044F480" w:rsidR="003E1EF7" w:rsidRPr="00F3553B" w:rsidRDefault="003E1EF7" w:rsidP="00F3553B">
      <w:pPr>
        <w:pStyle w:val="noidungctrla"/>
        <w:rPr>
          <w:lang w:val="vi-VN"/>
        </w:rPr>
      </w:pPr>
      <w:r w:rsidRPr="00F3553B">
        <w:rPr>
          <w:lang w:val="vi-VN"/>
        </w:rPr>
        <w:t xml:space="preserve">Các biến đổi mtDNA bao gồm mức độ mất đoạn lớn và số bản sao đóng vai trò quan trọng sinh lý bệnh của nhiều rối loạn thần kinh, đặc biệt là các bệnh tự miễn như NMOSD </w:t>
      </w:r>
      <w:r w:rsidRPr="00F3553B">
        <w:rPr>
          <w:lang w:val="vi-VN"/>
        </w:rPr>
        <w:fldChar w:fldCharType="begin" w:fldLock="1"/>
      </w:r>
      <w:r w:rsidRPr="00F3553B">
        <w:rPr>
          <w:lang w:val="vi-VN"/>
        </w:rPr>
        <w:instrText>ADDIN CSL_CITATION {"citationItems":[{"id":"ITEM-1","itemData":{"DOI":"10.1186/s12974-018-1162-0","ISSN":"17422094","PMID":"29703264","abstract":"Background: Neuromyelitis optica spectrum disorder (NMOSD) is an inflammatory disease of the central nervous system. Although complement-dependent astrocyte damage mediated by anti-aquaporin 4 autoantibody (AQP4-Ab) is well acknowledged to be the core of NMOSD pathogenesis, additional inflammatory cascades may contribute to the establishment of lesion formation. Thus, in this study, we investigated the possible pathogenic role of immune-reactive mitochondrial DNA (mtDNA) in cerebrospinal fluid (CSF) of NMOSD patients. Methods: Using quantitative polymerase chain reaction, we measured extracellular mtDNA levels in CSF of NMOSD patients positive for AQP4-Ab. Patients with multiple sclerosis or other neurological diseases were examined as controls. Pre- and post-treatment extracellular mtDNA levels were also compared in the NMOSD group. Extracellular mtDNA release from human astrocytes was analyzed in vitro utilizing NMOSD sera, and interleukin (IL)-1β production was measured in supernatants of mixed glial cells stimulated with DNA fraction of CSF derived from NMOSD patients. Furthermore, specific innate immune pathways mediating the IL-1β production by mtDNA were investigated in peripheral blood mononuclear cells with selective inhibitors of Toll-like receptor 9 (TLR9) and NOD-like receptor protein 3 (NLRP3) inflammasomes. Results: Extracellular mtDNA level was specifically elevated in acute phase of NMOSD CSF. In vitro studies provided the evidence that mtDNA is released from human astrocytes by NMOSD sera. In addition, DNA fraction isolated from NMOSD CSF promoted secretion of IL-1β from mixed glial cells. Selective inhibition of TLR9 and NLRP3 inflammasomes revealed that mtDNA-mediated IL-1β production depends on specific innate immune pathways. Conclusion: Extracellular mtDNA is specifically elevated in the CSF of patients with acute phase NMOSD, and mtDNA released by AQP4-Ab-mediated cellular damage elicits the innate immune cascades via TLR9 and NLRP3 inflammasomes pathways. Our study highlights mtDNA-mediated innate immune pathways as a novel therapeutic target for future treatment of NMOSD patients.","author":[{"dropping-particle":"","family":"Yamashita","given":"Kazuya","non-dropping-particle":"","parse-names":false,"suffix":""},{"dropping-particle":"","family":"Kinoshita","given":"Makoto","non-dropping-particle":"","parse-names":false,"suffix":""},{"dropping-particle":"","family":"Miyamoto","given":"Katsuichi","non-dropping-particle":"","parse-names":false,"suffix":""},{"dropping-particle":"","family":"Namba","given":"Akiko","non-dropping-particle":"","parse-names":false,"suffix":""},{"dropping-particle":"","family":"Shimizu","given":"Mikito","non-dropping-particle":"","parse-names":false,"suffix":""},{"dropping-particle":"","family":"Koda","given":"Toru","non-dropping-particle":"","parse-names":false,"suffix":""},{"dropping-particle":"","family":"Sugimoto","given":"Tomoyuki","non-dropping-particle":"","parse-names":false,"suffix":""},{"dropping-particle":"","family":"Mori","given":"Yuki","non-dropping-particle":"","parse-names":false,"suffix":""},{"dropping-particle":"","family":"Yoshioka","given":"Yoshichika","non-dropping-particle":"","parse-names":false,"suffix":""},{"dropping-particle":"","family":"Nakatsuji","given":"Yuji","non-dropping-particle":"","parse-names":false,"suffix":""},{"dropping-particle":"","family":"Kumanogoh","given":"Atsushi","non-dropping-particle":"","parse-names":false,"suffix":""},{"dropping-particle":"","family":"Kusunoki","given":"Susumu","non-dropping-particle":"","parse-names":false,"suffix":""},{"dropping-particle":"","family":"Mochizuki","given":"Hideki","non-dropping-particle":"","parse-names":false,"suffix":""},{"dropping-particle":"","family":"Okuno","given":"Tatsusada","non-dropping-particle":"","parse-names":false,"suffix":""}],"container-title":"Journal of Neuroinflammation","id":"ITEM-1","issue":"1","issued":{"date-parts":[["2018"]]},"page":"1-9","publisher":"Journal of Neuroinflammation","title":"Cerebrospinal fluid mitochondrial DNA in neuromyelitis optica spectrum disorder","type":"article-journal","volume":"15"},"uris":["http://www.mendeley.com/documents/?uuid=1b39f0d7-4d78-473b-ae43-c51d6aad4dec"]},{"id":"ITEM-2","itemData":{"DOI":"10.1016/j.jneuroim.2021.577657","ISSN":"18728421","PMID":"34315069","abstract":"Astrocyte pathology is a feature of neuromyelitis optica spectrum disorder (NMOSD) pathology. Recently mitochondrial dysfunction and metabolic changes were suggested to play a role in NMOSD. To elucidate the role of mitochondrial dysfunction, astrocyte pathology was induced in C57BL/6 J female mice by intracerebral injection of aquaporin-4-immunoglobulin G from an NMOSD patient, together with complement. Etomoxir has been shown to cause mitochondrial dysfunction. Etomoxir was delivered to the central nervous system and resulted in decreased astrocyte pathology. The ameliorating effect was associated with increases in different acylcarnitines and amino acids. This suggests that mitochondria may be a therapeutic target in NMOSD.","author":[{"dropping-particle":"","family":"Morch","given":"Marlene Thorsen","non-dropping-particle":"","parse-names":false,"suffix":""},{"dropping-particle":"","family":"Khorooshi","given":"Reza","non-dropping-particle":"","parse-names":false,"suffix":""},{"dropping-particle":"","family":"Marczynska","given":"Joanna","non-dropping-particle":"","parse-names":false,"suffix":""},{"dropping-particle":"","family":"Dubik","given":"Magdalena","non-dropping-particle":"","parse-names":false,"suffix":""},{"dropping-particle":"","family":"Nielsen","given":"Soeren","non-dropping-particle":"","parse-names":false,"suffix":""},{"dropping-particle":"","family":"Nieland","given":"John Dirk","non-dropping-particle":"","parse-names":false,"suffix":""},{"dropping-particle":"","family":"Asgari","given":"Nasrin","non-dropping-particle":"","parse-names":false,"suffix":""},{"dropping-particle":"","family":"Owens","given":"Trevor","non-dropping-particle":"","parse-names":false,"suffix":""}],"container-title":"Journal of Neuroimmunology","id":"ITEM-2","issue":"January","issued":{"date-parts":[["2021"]]},"page":"577657","publisher":"Elsevier B.V.","title":"Mitochondria–A target for attenuation of astrocyte pathology","type":"article-journal","volume":"358"},"uris":["http://www.mendeley.com/documents/?uuid=3f7681de-a45d-422e-92f5-3ba75e8080c4"]},{"id":"ITEM-3","itemData":{"DOI":"10.1007/s12017-019-08588-w","ISSN":"1535-1084","author":[{"dropping-particle":"","family":"Al-Kafaji","given":"Ghada","non-dropping-particle":"","parse-names":false,"suffix":""},{"dropping-particle":"","family":"Bakheit","given":"Halla F.","non-dropping-particle":"","parse-names":false,"suffix":""},{"dropping-particle":"","family":"Alharbi","given":"Maram A.","non-dropping-particle":"","parse-names":false,"suffix":""},{"dropping-particle":"","family":"Farahat","given":"Ahmad A.","non-dropping-particle":"","parse-names":false,"suffix":""},{"dropping-particle":"","family":"Jailani","given":"Mohamed","non-dropping-particle":"","parse-names":false,"suffix":""},{"dropping-particle":"","family":"Ebrahin","given":"Bashayer H.","non-dropping-particle":"","parse-names":false,"suffix":""},{"dropping-particle":"","family":"Bakhiet","given":"Moiz","non-dropping-particle":"","parse-names":false,"suffix":""}],"container-title":"NeuroMolecular Medicine","id":"ITEM-3","issue":"2","issued":{"date-parts":[["2020","6","4"]]},"page":"304-313","title":"Mitochondrial DNA Copy Number in Peripheral Blood as a Potential Non-invasive Biomarker for Multiple Sclerosis","type":"article-journal","volume":"22"},"uris":["http://www.mendeley.com/documents/?uuid=ee87315a-6b64-43b4-a08a-26828e7ba7e3"]}],"mendeley":{"formattedCitation":"[6], [12], [13]","plainTextFormattedCitation":"[6], [12], [13]","previouslyFormattedCitation":"[6], [12], [13]"},"properties":{"noteIndex":0},"schema":"https://github.com/citation-style-language/schema/raw/master/csl-citation.json"}</w:instrText>
      </w:r>
      <w:r w:rsidRPr="00F3553B">
        <w:rPr>
          <w:lang w:val="vi-VN"/>
        </w:rPr>
        <w:fldChar w:fldCharType="separate"/>
      </w:r>
      <w:r w:rsidRPr="00F3553B">
        <w:rPr>
          <w:noProof/>
          <w:lang w:val="vi-VN"/>
        </w:rPr>
        <w:t>[6, 12, 13]</w:t>
      </w:r>
      <w:r w:rsidRPr="00F3553B">
        <w:rPr>
          <w:lang w:val="vi-VN"/>
        </w:rPr>
        <w:fldChar w:fldCharType="end"/>
      </w:r>
      <w:r w:rsidRPr="00F3553B">
        <w:rPr>
          <w:lang w:val="vi-VN"/>
        </w:rPr>
        <w:t xml:space="preserve">. Các nghiên cứu trước đây đã xác định sự hiện </w:t>
      </w:r>
      <w:r w:rsidRPr="00F3553B">
        <w:rPr>
          <w:lang w:val="vi-VN"/>
        </w:rPr>
        <w:lastRenderedPageBreak/>
        <w:t xml:space="preserve">diện </w:t>
      </w:r>
      <w:r w:rsidRPr="00F3553B">
        <w:rPr>
          <w:spacing w:val="-4"/>
          <w:lang w:val="vi-VN"/>
        </w:rPr>
        <w:t xml:space="preserve">của các đột biến mtDNA trong nhiều loại mô, cơ, máu và dịch tủy sống với các đặc điểm tích lũy theo tuổi và biểu hiện đặc hiệu mô </w:t>
      </w:r>
      <w:r w:rsidRPr="00F3553B">
        <w:rPr>
          <w:spacing w:val="-4"/>
          <w:lang w:val="vi-VN"/>
        </w:rPr>
        <w:fldChar w:fldCharType="begin" w:fldLock="1"/>
      </w:r>
      <w:r w:rsidRPr="00F3553B">
        <w:rPr>
          <w:spacing w:val="-4"/>
          <w:lang w:val="vi-VN"/>
        </w:rPr>
        <w:instrText>ADDIN CSL_CITATION {"citationItems":[{"id":"ITEM-1","itemData":{"DOI":"10.7554/eLife.83395","ISSN":"2050-084X","PMID":"36799304","abstract":"Accumulation of somatic mutations in the mitochondrial genome (mtDNA) has long been proposed as a possible mechanism of mitochondrial and tissue dysfunction that occurs during aging. A thorough characterization of age-associated mtDNA somatic mutations has been hampered by the limited ability to detect low-frequency mutations. Here, we used Duplex Sequencing on eight tissues of an aged mouse cohort to detect &gt;89,000 independent somatic mtDNA mutations and show significant tissue-specific increases during aging across all tissues examined which did not correlate with mitochondrial content and tissue function. G→A/C→T substitutions, indicative of replication errors and/or cytidine deamination, were the predominant mutation type across all tissues and increased with age, whereas G→T/C→A substitutions, indicative of oxidative damage, were the second most common mutation type, but did not increase with age regardless of tissue. We also show that clonal expansions of mtDNA mutations with age is tissue- and mutation type-dependent. Unexpectedly, mutations associated with oxidative damage rarely formed clones in any tissue and were significantly reduced in the hearts and kidneys of aged mice treated at late age with elamipretide or nicotinamide mononucleotide. Thus, the lack of accumulation of oxidative damage-linked mutations with age suggests a life-long dynamic clearance of either the oxidative lesions or mtDNA genomes harboring oxidative damage.","author":[{"dropping-particle":"","family":"Sanchez-Contreras","given":"Monica","non-dropping-particle":"","parse-names":false,"suffix":""},{"dropping-particle":"","family":"Sweetwyne","given":"Mariya T.","non-dropping-particle":"","parse-names":false,"suffix":""},{"dropping-particle":"","family":"Tsantilas","given":"Kristine A.","non-dropping-particle":"","parse-names":false,"suffix":""},{"dropping-particle":"","family":"Whitson","given":"Jeremy A.","non-dropping-particle":"","parse-names":false,"suffix":""},{"dropping-particle":"","family":"Campbell","given":"Matthew D.","non-dropping-particle":"","parse-names":false,"suffix":""},{"dropping-particle":"","family":"Kohrn","given":"Brenden F.","non-dropping-particle":"","parse-names":false,"suffix":""},{"dropping-particle":"","family":"Kim","given":"Hyeon Jeong","non-dropping-particle":"","parse-names":false,"suffix":""},{"dropping-particle":"","family":"Hipp","given":"Michael J.","non-dropping-particle":"","parse-names":false,"suffix":""},{"dropping-particle":"","family":"Fredrickson","given":"Jeanne","non-dropping-particle":"","parse-names":false,"suffix":""},{"dropping-particle":"","family":"Nguyen","given":"Megan M.","non-dropping-particle":"","parse-names":false,"suffix":""},{"dropping-particle":"","family":"Hurley","given":"James B.","non-dropping-particle":"","parse-names":false,"suffix":""},{"dropping-particle":"","family":"Marcinek","given":"David J.","non-dropping-particle":"","parse-names":false,"suffix":""},{"dropping-particle":"","family":"Rabinovitch","given":"Peter S.","non-dropping-particle":"","parse-names":false,"suffix":""},{"dropping-particle":"","family":"Kennedy","given":"Scott R.","non-dropping-particle":"","parse-names":false,"suffix":""}],"container-title":"eLife","id":"ITEM-1","issued":{"date-parts":[["2023","2","17"]]},"page":"1-26","title":"The multi-tissue landscape of somatic mtDNA mutations indicates tissue-specific accumulation and removal in aging","type":"article-journal","volume":"12"},"uris":["http://www.mendeley.com/documents/?uuid=b1310082-2212-4aa4-ae6d-137f43304e8e"]}],"mendeley":{"formattedCitation":"[14]","plainTextFormattedCitation":"[14]","previouslyFormattedCitation":"[14]"},"properties":{"noteIndex":0},"schema":"https://github.com/citation-style-language/schema/raw/master/csl-citation.json"}</w:instrText>
      </w:r>
      <w:r w:rsidRPr="00F3553B">
        <w:rPr>
          <w:spacing w:val="-4"/>
          <w:lang w:val="vi-VN"/>
        </w:rPr>
        <w:fldChar w:fldCharType="separate"/>
      </w:r>
      <w:r w:rsidRPr="00F3553B">
        <w:rPr>
          <w:noProof/>
          <w:spacing w:val="-4"/>
          <w:lang w:val="vi-VN"/>
        </w:rPr>
        <w:t>[14</w:t>
      </w:r>
      <w:r w:rsidRPr="00F3553B">
        <w:rPr>
          <w:spacing w:val="-4"/>
          <w:lang w:val="vi-VN"/>
        </w:rPr>
        <w:fldChar w:fldCharType="end"/>
      </w:r>
      <w:r w:rsidRPr="00F3553B">
        <w:rPr>
          <w:spacing w:val="-4"/>
          <w:lang w:val="vi-VN"/>
        </w:rPr>
        <w:t>,</w:t>
      </w:r>
      <w:r w:rsidRPr="00F3553B">
        <w:rPr>
          <w:spacing w:val="-4"/>
        </w:rPr>
        <w:fldChar w:fldCharType="begin" w:fldLock="1"/>
      </w:r>
      <w:r w:rsidRPr="00F3553B">
        <w:rPr>
          <w:spacing w:val="-4"/>
          <w:lang w:val="vi-VN"/>
        </w:rPr>
        <w:instrText>ADDIN CSL_CITATION {"citationItems":[{"id":"ITEM-1","itemData":{"DOI":"10.1016/j.exger.2023.112203","ISSN":"18736815","PMID":"37172915","abstract":"Mitochondrial DNA (mtDNA) is as a double-stranded molecule existing in hundreds to thousands copies in cells depending on cell metabolism and exposure to endogenous and/or environmental stressors. The coordination of mtDNA replication and transcription regulates the pace of mitochondrial biogenesis to guarantee the minimum number of organelles per cell. mtDNA inheritance follows a maternal lineage, although bi-parental inheritance has been reported in some species and in the case of mitochondrial diseases in humans. mtDNA mutations (e.g., point mutations, deletions, copy number variations) have been identified in the setting of several human diseases. For instance, sporadic and inherited rare disorders involving the nervous system as well higher risk of developing cancer and neurodegenerative conditions, including Parkinson's and Alzheimer's disease, have been associated with polymorphic mtDNA variants. An accrual of mtDNA mutations has also been identified in several tissues and organs, including heart and muscle, of old experimental animals and humans, which may contribute to the development of aging phenotypes. The role played by mtDNA homeostasis and mtDNA quality control pathways in human health is actively investigated for the possibility of developing targeted therapeutics for a wide range of conditions.","author":[{"dropping-particle":"","family":"Picca","given":"Anna","non-dropping-particle":"","parse-names":false,"suffix":""},{"dropping-particle":"","family":"Guerra","given":"Flora","non-dropping-particle":"","parse-names":false,"suffix":""},{"dropping-particle":"","family":"Calvani","given":"Riccardo","non-dropping-particle":"","parse-names":false,"suffix":""},{"dropping-particle":"","family":"Coelho-Júnior","given":"Hélio José","non-dropping-particle":"","parse-names":false,"suffix":""},{"dropping-particle":"","family":"Leeuwenburgh","given":"Christiaan","non-dropping-particle":"","parse-names":false,"suffix":""},{"dropping-particle":"","family":"Bucci","given":"Cecilia","non-dropping-particle":"","parse-names":false,"suffix":""},{"dropping-particle":"","family":"Marzetti","given":"Emanuele","non-dropping-particle":"","parse-names":false,"suffix":""}],"container-title":"Experimental Gerontology","id":"ITEM-1","issue":"May","issued":{"date-parts":[["2023"]]},"title":"The contribution of mitochondrial DNA alterations to aging, cancer, and neurodegeneration","type":"article-journal","volume":"178"},"uris":["http://www.mendeley.com/documents/?uuid=26874d36-1c94-4e7f-b8e1-c1144352d082"]}],"mendeley":{"formattedCitation":"[15]","plainTextFormattedCitation":"[15]","previouslyFormattedCitation":"[15]"},"properties":{"noteIndex":0},"schema":"https://github.com/citation-style-language/schema/raw/master/csl-citation.json"}</w:instrText>
      </w:r>
      <w:r w:rsidRPr="00F3553B">
        <w:rPr>
          <w:spacing w:val="-4"/>
        </w:rPr>
        <w:fldChar w:fldCharType="separate"/>
      </w:r>
      <w:r w:rsidRPr="00F3553B">
        <w:rPr>
          <w:noProof/>
          <w:spacing w:val="-4"/>
          <w:lang w:val="vi-VN"/>
        </w:rPr>
        <w:t xml:space="preserve"> 15]</w:t>
      </w:r>
      <w:r w:rsidRPr="00F3553B">
        <w:rPr>
          <w:spacing w:val="-4"/>
        </w:rPr>
        <w:fldChar w:fldCharType="end"/>
      </w:r>
      <w:r w:rsidRPr="00F3553B">
        <w:rPr>
          <w:spacing w:val="-4"/>
          <w:lang w:val="vi-VN"/>
        </w:rPr>
        <w:t>.</w:t>
      </w:r>
      <w:r w:rsidRPr="00F3553B">
        <w:rPr>
          <w:lang w:val="vi-VN"/>
        </w:rPr>
        <w:t xml:space="preserve"> </w:t>
      </w:r>
    </w:p>
    <w:p w14:paraId="7A0CACE6" w14:textId="77777777" w:rsidR="003E1EF7" w:rsidRPr="00F3553B" w:rsidRDefault="003E1EF7" w:rsidP="00F3553B">
      <w:pPr>
        <w:pStyle w:val="noidungctrla"/>
        <w:rPr>
          <w:bCs/>
          <w:lang w:val="vi-VN"/>
        </w:rPr>
      </w:pPr>
      <w:r w:rsidRPr="00F3553B">
        <w:rPr>
          <w:bCs/>
          <w:lang w:val="vi-VN"/>
        </w:rPr>
        <w:t xml:space="preserve">Trong nghiên cứu này, nhóm bệnh nhân mắc NMOSD trong khoảng tuổi 33-46 có số bản sao mtDNA thấp hơn ở những bệnh nhân thuộc khoảng tuổi khác. Độ tuổi này trùng khớp với độ tuổi trung bình khi khởi phát NMOSD, từ 32,6-45,7 tuổi, theo các nghiên cứu trước đó </w:t>
      </w:r>
      <w:r w:rsidRPr="00F3553B">
        <w:rPr>
          <w:bCs/>
          <w:lang w:val="vi-VN"/>
        </w:rPr>
        <w:fldChar w:fldCharType="begin" w:fldLock="1"/>
      </w:r>
      <w:r w:rsidRPr="00F3553B">
        <w:rPr>
          <w:bCs/>
          <w:lang w:val="vi-VN"/>
        </w:rPr>
        <w:instrText>ADDIN CSL_CITATION {"citationItems":[{"id":"ITEM-1","itemData":{"DOI":"10.1177/1352458515572406","author":[{"dropping-particle":"","family":"Pandit","given":"L","non-dropping-particle":"","parse-names":false,"suffix":""},{"dropping-particle":"","family":"Asgari","given":"N","non-dropping-particle":"","parse-names":false,"suffix":""},{"dropping-particle":"","family":"Apiwattanakul","given":"M","non-dropping-particle":"","parse-names":false,"suffix":""},{"dropping-particle":"","family":"Palace","given":"J","non-dropping-particle":"","parse-names":false,"suffix":""},{"dropping-particle":"","family":"Paul","given":"F","non-dropping-particle":"","parse-names":false,"suffix":""},{"dropping-particle":"","family":"Mi","given":"Leite","non-dropping-particle":"","parse-names":false,"suffix":""},{"dropping-particle":"","family":"Kleiter","given":"I","non-dropping-particle":"","parse-names":false,"suffix":""},{"dropping-particle":"","family":"Chitnis","given":"T","non-dropping-particle":"","parse-names":false,"suffix":""}],"id":"ITEM-1","issued":{"date-parts":[["2015"]]},"page":"845-853","title":"Demographic and clinical features of neuromyelitis optica : A review","type":"article-journal"},"uris":["http://www.mendeley.com/documents/?uuid=c26efbf8-1552-48cb-ab60-b39b376d1a9e"]}],"mendeley":{"formattedCitation":"[2]","plainTextFormattedCitation":"[2]","previouslyFormattedCitation":"[2]"},"properties":{"noteIndex":0},"schema":"https://github.com/citation-style-language/schema/raw/master/csl-citation.json"}</w:instrText>
      </w:r>
      <w:r w:rsidRPr="00F3553B">
        <w:rPr>
          <w:bCs/>
          <w:lang w:val="vi-VN"/>
        </w:rPr>
        <w:fldChar w:fldCharType="separate"/>
      </w:r>
      <w:r w:rsidRPr="00F3553B">
        <w:rPr>
          <w:bCs/>
          <w:noProof/>
          <w:lang w:val="vi-VN"/>
        </w:rPr>
        <w:t>[2]</w:t>
      </w:r>
      <w:r w:rsidRPr="00F3553B">
        <w:fldChar w:fldCharType="end"/>
      </w:r>
      <w:r w:rsidRPr="00F3553B">
        <w:rPr>
          <w:bCs/>
          <w:lang w:val="vi-VN"/>
        </w:rPr>
        <w:t>. Điều này gợi ý rằng giảm số bản sao mtDNA trong máu có thể liên quan đến quá trình khởi phát bệnh ở lứa tuổi trung niên.</w:t>
      </w:r>
    </w:p>
    <w:p w14:paraId="5351E286" w14:textId="77777777" w:rsidR="003E1EF7" w:rsidRPr="00F3553B" w:rsidRDefault="003E1EF7" w:rsidP="00F3553B">
      <w:pPr>
        <w:pStyle w:val="noidungctrla"/>
        <w:rPr>
          <w:bCs/>
          <w:lang w:val="vi-VN"/>
        </w:rPr>
      </w:pPr>
      <w:r w:rsidRPr="00F3553B">
        <w:rPr>
          <w:bCs/>
          <w:lang w:val="vi-VN"/>
        </w:rPr>
        <w:t>Mức độ mất đoạn và số bản sao mtDNA ở bệnh nhân NMOSD, đặc biệt là ở bệnh nhân NMOSD dương tính với AQP4-IgG cao hơn so với nhóm đối chứng cũng đã được chỉ ra trong nghiên cứu này. Hiện chưa có nhiều nghiên cứu công bố dữ liệu về mức độ mất đoạn lớn mtDNA trong NMOSD hoặc các bệnh tự miễn khác. Tuy nhiên, nghiên cứu năm 2023 của nhóm chúng tôi về bệnh nhân động kinh được điều trị bằng Carbamazepine cho thấy mức độ mất đoạn lớn mtDNA ở nhóm dị ứng thấp hơn có ý nghĩa thống kê so với nhóm dung nạp (</w:t>
      </w:r>
      <w:r w:rsidRPr="00F3553B">
        <w:rPr>
          <w:bCs/>
          <w:i/>
          <w:lang w:val="vi-VN"/>
        </w:rPr>
        <w:t>P</w:t>
      </w:r>
      <w:r w:rsidRPr="00F3553B">
        <w:rPr>
          <w:bCs/>
          <w:lang w:val="vi-VN"/>
        </w:rPr>
        <w:t xml:space="preserve">&lt;0,05) </w:t>
      </w:r>
      <w:r w:rsidRPr="00F3553B">
        <w:rPr>
          <w:bCs/>
          <w:lang w:val="vi-VN"/>
        </w:rPr>
        <w:fldChar w:fldCharType="begin" w:fldLock="1"/>
      </w:r>
      <w:r w:rsidRPr="00F3553B">
        <w:rPr>
          <w:bCs/>
          <w:lang w:val="vi-VN"/>
        </w:rPr>
        <w:instrText>ADDIN CSL_CITATION {"citationItems":[{"id":"ITEM-1","itemData":{"DOI":"10.25073/2588-1140/vnunst.5487","ISSN":"2615-9317","abstract":"Mitochondrial dysfunction, caused by large-scale deletion mutations, can lead to impaired function of the mitochondrial respiratory chain, reduced ATP production, and serious effects on most energy-consuming organs, such as neurons, and can induce seizures in epilepsy. Carbamazepine (CBZ), the first-line drug used in the treatment of epilepsy, can be harmful to mitochondria and its side effects may be related to mitochondrial dysfunction. In this study, mitochondrial DNA (mtDNA) large-scale deletions were identified in 65 CBZ-treated patients with epilepsy, including 32 patients with CBZ-induced hypersensitivity and 33 with CBZ tolerance. Using the PCR method, mtDNA large-scale deletions were identified in 21/65 epilepsy patients (32.31%), including 9/32 CBZ-hypersensitivity patients (28.13%) and 12/33 CBZ-tolerance patients (36.36%). However, this difference was not statistically significant. The “common deletion” of 4977 bp was the most prevalent deletion. Remarkably, the new deletion of 4876 bp in a CBZ-tolerance patient was reported for the first time. Quantitative PCR analysis showed that the level of mtDNA large-scale deletion was significantly lower in the hypersensitivity group than in the tolerance group (p &lt; 0.05). Besides, analysis of the association between the level of mtDNA large-scale deletion and mtDNA copy number with the clinical features of CBZ hypersensitivity patients showed no relationship with age and severity of skin lesions (p &gt; 0.05). However, there was a statistically significant association between the level of mtDNA large-scale deletions and sex (p &lt; 0.01). Further studies are needed to evaluate the role of mtDNA large-scale deletions in epilepsy and their association with antiepileptic drugs.","author":[{"dropping-particle":"","family":"Thi Tu Linh","given":"Nguyen","non-dropping-particle":"","parse-names":false,"suffix":""},{"dropping-particle":"","family":"Huong","given":"Vu Thu","non-dropping-particle":"","parse-names":false,"suffix":""},{"dropping-particle":"","family":"Nhan","given":"Le Thi Thanh","non-dropping-particle":"","parse-names":false,"suffix":""},{"dropping-particle":"","family":"Phuong","given":"Le Lan","non-dropping-particle":"","parse-names":false,"suffix":""},{"dropping-particle":"","family":"Thuy","given":"Nguyen Doan","non-dropping-particle":"","parse-names":false,"suffix":""},{"dropping-particle":"Van","family":"Lieu","given":"Nguyen","non-dropping-particle":"","parse-names":false,"suffix":""},{"dropping-particle":"Van","family":"Anh","given":"Nguyen Thi","non-dropping-particle":"","parse-names":false,"suffix":""},{"dropping-particle":"","family":"Thai","given":"Trinh Hong","non-dropping-particle":"","parse-names":false,"suffix":""}],"container-title":"VNU Journal of Science: Natural Sciences and Technology","id":"ITEM-1","issue":"1","issued":{"date-parts":[["2024"]]},"page":"34-44","title":"Large-Scale Deletions of Mitochondrial DNA in Epilepsy Patients Treated with Carbamazepine","type":"article-journal","volume":"40"},"uris":["http://www.mendeley.com/documents/?uuid=45f91fb2-b593-4849-94f6-e60940fb352e"]}],"mendeley":{"formattedCitation":"[16]","plainTextFormattedCitation":"[16]","previouslyFormattedCitation":"[16]"},"properties":{"noteIndex":0},"schema":"https://github.com/citation-style-language/schema/raw/master/csl-citation.json"}</w:instrText>
      </w:r>
      <w:r w:rsidRPr="00F3553B">
        <w:rPr>
          <w:bCs/>
          <w:lang w:val="vi-VN"/>
        </w:rPr>
        <w:fldChar w:fldCharType="separate"/>
      </w:r>
      <w:r w:rsidRPr="00F3553B">
        <w:rPr>
          <w:bCs/>
          <w:noProof/>
          <w:lang w:val="vi-VN"/>
        </w:rPr>
        <w:t>[16]</w:t>
      </w:r>
      <w:r w:rsidRPr="00F3553B">
        <w:rPr>
          <w:bCs/>
          <w:lang w:val="vi-VN"/>
        </w:rPr>
        <w:fldChar w:fldCharType="end"/>
      </w:r>
      <w:r w:rsidRPr="00F3553B">
        <w:rPr>
          <w:bCs/>
          <w:lang w:val="vi-VN"/>
        </w:rPr>
        <w:t xml:space="preserve">. </w:t>
      </w:r>
    </w:p>
    <w:p w14:paraId="530FD005" w14:textId="77777777" w:rsidR="003E1EF7" w:rsidRPr="00F3553B" w:rsidRDefault="003E1EF7" w:rsidP="00F3553B">
      <w:pPr>
        <w:pStyle w:val="tenbangctrl8"/>
        <w:rPr>
          <w:lang w:val="pt-BR"/>
        </w:rPr>
        <w:sectPr w:rsidR="003E1EF7" w:rsidRPr="00F3553B" w:rsidSect="003E1EF7">
          <w:type w:val="continuous"/>
          <w:pgSz w:w="11907" w:h="16840" w:code="9"/>
          <w:pgMar w:top="2041" w:right="1418" w:bottom="2438" w:left="1418" w:header="1531" w:footer="2098" w:gutter="0"/>
          <w:cols w:num="2" w:space="567"/>
          <w:docGrid w:linePitch="360"/>
        </w:sectPr>
      </w:pPr>
    </w:p>
    <w:p w14:paraId="442A9962" w14:textId="51931356" w:rsidR="009C683C" w:rsidRPr="00F3553B" w:rsidRDefault="009C683C" w:rsidP="00F3553B">
      <w:pPr>
        <w:pStyle w:val="tenbangctrl8"/>
        <w:spacing w:before="360"/>
        <w:rPr>
          <w:lang w:val="vi-VN"/>
        </w:rPr>
      </w:pPr>
      <w:r w:rsidRPr="00F3553B">
        <w:rPr>
          <w:lang w:val="pt-BR"/>
        </w:rPr>
        <w:lastRenderedPageBreak/>
        <w:t>Bảng 1. Mối liên quan giữa m</w:t>
      </w:r>
      <w:r w:rsidRPr="00F3553B">
        <w:rPr>
          <w:lang w:val="vi-VN"/>
        </w:rPr>
        <w:t xml:space="preserve">ức độ mất đoạn lớn và </w:t>
      </w:r>
      <w:bookmarkStart w:id="2" w:name="OLE_LINK1"/>
      <w:r w:rsidRPr="00F3553B">
        <w:rPr>
          <w:lang w:val="pt-BR"/>
        </w:rPr>
        <w:t xml:space="preserve">số bản sao tương đối mtDNA </w:t>
      </w:r>
      <w:bookmarkEnd w:id="2"/>
      <w:r w:rsidRPr="00F3553B">
        <w:rPr>
          <w:lang w:val="pt-BR"/>
        </w:rPr>
        <w:t xml:space="preserve">ở mẫu </w:t>
      </w:r>
      <w:r w:rsidRPr="00F3553B">
        <w:rPr>
          <w:lang w:val="vi-VN"/>
        </w:rPr>
        <w:t>máu</w:t>
      </w:r>
      <w:r w:rsidRPr="00F3553B">
        <w:rPr>
          <w:lang w:val="pt-BR"/>
        </w:rPr>
        <w:t xml:space="preserve"> với các đặc điểm của bệnh </w:t>
      </w:r>
      <w:r w:rsidRPr="00F3553B">
        <w:rPr>
          <w:lang w:val="vi-VN"/>
        </w:rPr>
        <w:t xml:space="preserve">nhân mắc phổ </w:t>
      </w:r>
      <w:r w:rsidRPr="00F3553B">
        <w:rPr>
          <w:lang w:val="pt-BR"/>
        </w:rPr>
        <w:t xml:space="preserve">bệnh </w:t>
      </w:r>
      <w:r w:rsidRPr="00F3553B">
        <w:rPr>
          <w:lang w:val="vi-VN"/>
        </w:rPr>
        <w:t>viêm tủy thị thần kinh</w:t>
      </w:r>
    </w:p>
    <w:tbl>
      <w:tblPr>
        <w:tblStyle w:val="PlainTable21"/>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7"/>
        <w:gridCol w:w="1889"/>
        <w:gridCol w:w="1262"/>
        <w:gridCol w:w="2250"/>
        <w:gridCol w:w="1170"/>
      </w:tblGrid>
      <w:tr w:rsidR="009C683C" w:rsidRPr="00F3553B" w14:paraId="21EE79D3" w14:textId="77777777" w:rsidTr="003E1E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Borders>
              <w:bottom w:val="none" w:sz="0" w:space="0" w:color="auto"/>
            </w:tcBorders>
            <w:vAlign w:val="center"/>
          </w:tcPr>
          <w:p w14:paraId="314B0FAE" w14:textId="77777777" w:rsidR="009C683C" w:rsidRPr="00F3553B" w:rsidRDefault="009C683C" w:rsidP="00F3553B">
            <w:pPr>
              <w:contextualSpacing/>
              <w:jc w:val="center"/>
              <w:rPr>
                <w:rFonts w:ascii="Times New Roman" w:eastAsiaTheme="minorHAnsi" w:hAnsi="Times New Roman" w:cs="Times New Roman"/>
                <w:b w:val="0"/>
                <w:sz w:val="20"/>
                <w:szCs w:val="20"/>
                <w:lang w:eastAsia="en-US"/>
              </w:rPr>
            </w:pPr>
            <w:r w:rsidRPr="00F3553B">
              <w:rPr>
                <w:rFonts w:ascii="Times New Roman" w:eastAsia="DengXian" w:hAnsi="Times New Roman" w:cs="Times New Roman"/>
                <w:b w:val="0"/>
                <w:iCs/>
                <w:sz w:val="20"/>
                <w:szCs w:val="20"/>
                <w:lang w:eastAsia="en-US"/>
              </w:rPr>
              <w:t>Đặc điểm</w:t>
            </w:r>
          </w:p>
        </w:tc>
        <w:tc>
          <w:tcPr>
            <w:tcW w:w="1277" w:type="dxa"/>
            <w:tcBorders>
              <w:bottom w:val="none" w:sz="0" w:space="0" w:color="auto"/>
            </w:tcBorders>
            <w:vAlign w:val="center"/>
          </w:tcPr>
          <w:p w14:paraId="27A56034" w14:textId="77777777" w:rsidR="009C683C" w:rsidRPr="00F3553B" w:rsidRDefault="009C683C" w:rsidP="00F3553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eastAsia="en-US"/>
              </w:rPr>
              <w:t>Số mẫu</w:t>
            </w:r>
          </w:p>
          <w:p w14:paraId="0E686424" w14:textId="77777777" w:rsidR="009C683C" w:rsidRPr="00F3553B" w:rsidRDefault="009C683C" w:rsidP="00F3553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0"/>
                <w:szCs w:val="20"/>
                <w:lang w:eastAsia="en-US"/>
              </w:rPr>
            </w:pPr>
            <w:r w:rsidRPr="00F3553B">
              <w:rPr>
                <w:rFonts w:ascii="Times New Roman" w:eastAsia="DengXian" w:hAnsi="Times New Roman" w:cs="Times New Roman"/>
                <w:b w:val="0"/>
                <w:sz w:val="20"/>
                <w:szCs w:val="20"/>
                <w:lang w:eastAsia="en-US"/>
              </w:rPr>
              <w:t>n(%)</w:t>
            </w:r>
          </w:p>
        </w:tc>
        <w:tc>
          <w:tcPr>
            <w:tcW w:w="1889" w:type="dxa"/>
            <w:tcBorders>
              <w:bottom w:val="none" w:sz="0" w:space="0" w:color="auto"/>
            </w:tcBorders>
            <w:vAlign w:val="center"/>
          </w:tcPr>
          <w:p w14:paraId="55D663DC" w14:textId="77777777" w:rsidR="009C683C" w:rsidRPr="00F3553B" w:rsidRDefault="009C683C" w:rsidP="00F3553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val="vi-VN" w:eastAsia="en-US"/>
              </w:rPr>
              <w:t>MĐMĐ</w:t>
            </w:r>
            <w:r w:rsidRPr="00F3553B">
              <w:rPr>
                <w:rFonts w:ascii="Times New Roman" w:eastAsiaTheme="minorHAnsi" w:hAnsi="Times New Roman" w:cs="Times New Roman"/>
                <w:b w:val="0"/>
                <w:sz w:val="20"/>
                <w:szCs w:val="20"/>
                <w:lang w:eastAsia="en-US"/>
              </w:rPr>
              <w:t xml:space="preserve"> lớn</w:t>
            </w:r>
            <w:r w:rsidRPr="00F3553B">
              <w:rPr>
                <w:rFonts w:ascii="Times New Roman" w:eastAsiaTheme="minorHAnsi" w:hAnsi="Times New Roman" w:cs="Times New Roman"/>
                <w:b w:val="0"/>
                <w:sz w:val="20"/>
                <w:szCs w:val="20"/>
                <w:lang w:val="vi-VN" w:eastAsia="en-US"/>
              </w:rPr>
              <w:t xml:space="preserve"> mtDNA (%)</w:t>
            </w:r>
          </w:p>
        </w:tc>
        <w:tc>
          <w:tcPr>
            <w:tcW w:w="1262" w:type="dxa"/>
            <w:tcBorders>
              <w:bottom w:val="none" w:sz="0" w:space="0" w:color="auto"/>
            </w:tcBorders>
            <w:vAlign w:val="center"/>
          </w:tcPr>
          <w:p w14:paraId="1CC1E443" w14:textId="77777777" w:rsidR="009C683C" w:rsidRPr="00F3553B" w:rsidRDefault="009C683C" w:rsidP="00F3553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eastAsia="en-US"/>
              </w:rPr>
              <w:t>Giá trị</w:t>
            </w:r>
            <w:r w:rsidRPr="00F3553B">
              <w:rPr>
                <w:rFonts w:ascii="Times New Roman" w:eastAsiaTheme="minorHAnsi" w:hAnsi="Times New Roman" w:cs="Times New Roman"/>
                <w:b w:val="0"/>
                <w:i/>
                <w:sz w:val="20"/>
                <w:szCs w:val="20"/>
                <w:lang w:eastAsia="en-US"/>
              </w:rPr>
              <w:t xml:space="preserve"> P</w:t>
            </w:r>
          </w:p>
        </w:tc>
        <w:tc>
          <w:tcPr>
            <w:tcW w:w="2250" w:type="dxa"/>
            <w:tcBorders>
              <w:bottom w:val="none" w:sz="0" w:space="0" w:color="auto"/>
            </w:tcBorders>
            <w:vAlign w:val="center"/>
          </w:tcPr>
          <w:p w14:paraId="555EA30C" w14:textId="77777777" w:rsidR="009C683C" w:rsidRPr="00F3553B" w:rsidRDefault="009C683C" w:rsidP="00F3553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val="vi-VN" w:eastAsia="en-US"/>
              </w:rPr>
              <w:t>SBS</w:t>
            </w:r>
            <w:r w:rsidRPr="00F3553B">
              <w:rPr>
                <w:rFonts w:ascii="Times New Roman" w:eastAsiaTheme="minorHAnsi" w:hAnsi="Times New Roman" w:cs="Times New Roman"/>
                <w:b w:val="0"/>
                <w:sz w:val="20"/>
                <w:szCs w:val="20"/>
                <w:lang w:eastAsia="en-US"/>
              </w:rPr>
              <w:t xml:space="preserve"> tương đối mtDNA</w:t>
            </w:r>
          </w:p>
        </w:tc>
        <w:tc>
          <w:tcPr>
            <w:tcW w:w="1170" w:type="dxa"/>
            <w:tcBorders>
              <w:bottom w:val="none" w:sz="0" w:space="0" w:color="auto"/>
            </w:tcBorders>
            <w:vAlign w:val="center"/>
          </w:tcPr>
          <w:p w14:paraId="2AA1F2DB" w14:textId="77777777" w:rsidR="009C683C" w:rsidRPr="00F3553B" w:rsidRDefault="009C683C" w:rsidP="00F3553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eastAsia="en-US"/>
              </w:rPr>
              <w:t>Giá trị</w:t>
            </w:r>
            <w:r w:rsidRPr="00F3553B">
              <w:rPr>
                <w:rFonts w:ascii="Times New Roman" w:eastAsiaTheme="minorHAnsi" w:hAnsi="Times New Roman" w:cs="Times New Roman"/>
                <w:b w:val="0"/>
                <w:i/>
                <w:sz w:val="20"/>
                <w:szCs w:val="20"/>
                <w:lang w:eastAsia="en-US"/>
              </w:rPr>
              <w:t xml:space="preserve"> P</w:t>
            </w:r>
          </w:p>
        </w:tc>
      </w:tr>
      <w:tr w:rsidR="009C683C" w:rsidRPr="00F3553B" w14:paraId="0E55F033" w14:textId="77777777" w:rsidTr="003E1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gridSpan w:val="6"/>
            <w:tcBorders>
              <w:top w:val="none" w:sz="0" w:space="0" w:color="auto"/>
              <w:bottom w:val="none" w:sz="0" w:space="0" w:color="auto"/>
            </w:tcBorders>
            <w:vAlign w:val="center"/>
          </w:tcPr>
          <w:p w14:paraId="54C46B51" w14:textId="77777777" w:rsidR="009C683C" w:rsidRPr="00F3553B" w:rsidRDefault="009C683C" w:rsidP="00F3553B">
            <w:pPr>
              <w:contextualSpacing/>
              <w:rPr>
                <w:rFonts w:ascii="Times New Roman" w:eastAsiaTheme="minorHAnsi" w:hAnsi="Times New Roman" w:cs="Times New Roman"/>
                <w:b w:val="0"/>
                <w:sz w:val="20"/>
                <w:szCs w:val="20"/>
                <w:lang w:eastAsia="en-US"/>
              </w:rPr>
            </w:pPr>
            <w:r w:rsidRPr="00F3553B">
              <w:rPr>
                <w:rFonts w:ascii="Times New Roman" w:eastAsia="DengXian" w:hAnsi="Times New Roman" w:cs="Times New Roman"/>
                <w:b w:val="0"/>
                <w:sz w:val="20"/>
                <w:szCs w:val="20"/>
                <w:lang w:eastAsia="en-US"/>
              </w:rPr>
              <w:t>Khoảng tuổi</w:t>
            </w:r>
          </w:p>
        </w:tc>
      </w:tr>
      <w:tr w:rsidR="003E1EF7" w:rsidRPr="00F3553B" w14:paraId="040E716B" w14:textId="77777777" w:rsidTr="005D19FF">
        <w:trPr>
          <w:trHeight w:val="52"/>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3AC2B92E" w14:textId="77777777" w:rsidR="003E1EF7" w:rsidRPr="00F3553B" w:rsidRDefault="003E1EF7" w:rsidP="00F3553B">
            <w:pPr>
              <w:contextualSpacing/>
              <w:rPr>
                <w:rFonts w:ascii="Times New Roman" w:eastAsia="DengXian" w:hAnsi="Times New Roman" w:cs="Times New Roman"/>
                <w:b w:val="0"/>
                <w:sz w:val="20"/>
                <w:szCs w:val="20"/>
                <w:lang w:eastAsia="en-US"/>
              </w:rPr>
            </w:pPr>
            <w:r w:rsidRPr="00F3553B">
              <w:rPr>
                <w:rFonts w:ascii="Times New Roman" w:eastAsia="DengXian" w:hAnsi="Times New Roman" w:cs="Times New Roman"/>
                <w:b w:val="0"/>
                <w:sz w:val="20"/>
                <w:szCs w:val="20"/>
                <w:lang w:eastAsia="en-US"/>
              </w:rPr>
              <w:t>≤32</w:t>
            </w:r>
          </w:p>
        </w:tc>
        <w:tc>
          <w:tcPr>
            <w:tcW w:w="1277" w:type="dxa"/>
            <w:vAlign w:val="center"/>
          </w:tcPr>
          <w:p w14:paraId="5B46FEDD"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10 (22,22%)</w:t>
            </w:r>
          </w:p>
        </w:tc>
        <w:tc>
          <w:tcPr>
            <w:tcW w:w="1889" w:type="dxa"/>
            <w:vAlign w:val="center"/>
          </w:tcPr>
          <w:p w14:paraId="4DAC465E" w14:textId="77777777" w:rsidR="003E1EF7" w:rsidRPr="00F3553B" w:rsidRDefault="003E1EF7" w:rsidP="00F3553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70,62 (54,78-91,86)</w:t>
            </w:r>
          </w:p>
        </w:tc>
        <w:tc>
          <w:tcPr>
            <w:tcW w:w="1262" w:type="dxa"/>
            <w:vMerge w:val="restart"/>
            <w:vAlign w:val="center"/>
          </w:tcPr>
          <w:p w14:paraId="65145512" w14:textId="77777777" w:rsidR="003E1EF7" w:rsidRPr="00F3553B" w:rsidRDefault="003E1EF7" w:rsidP="00F3553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0,6730</w:t>
            </w:r>
            <w:r w:rsidRPr="00F3553B">
              <w:rPr>
                <w:rFonts w:ascii="Times New Roman" w:eastAsia="DengXian" w:hAnsi="Times New Roman" w:cs="Times New Roman"/>
                <w:sz w:val="20"/>
                <w:szCs w:val="20"/>
                <w:vertAlign w:val="superscript"/>
                <w:lang w:eastAsia="en-US"/>
              </w:rPr>
              <w:t>†</w:t>
            </w:r>
          </w:p>
        </w:tc>
        <w:tc>
          <w:tcPr>
            <w:tcW w:w="2250" w:type="dxa"/>
            <w:vAlign w:val="center"/>
          </w:tcPr>
          <w:p w14:paraId="581073F8" w14:textId="77777777" w:rsidR="003E1EF7" w:rsidRPr="00F3553B" w:rsidRDefault="003E1EF7" w:rsidP="00F3553B">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465,50 (186,20-945,70)</w:t>
            </w:r>
          </w:p>
        </w:tc>
        <w:tc>
          <w:tcPr>
            <w:tcW w:w="1170" w:type="dxa"/>
            <w:vMerge w:val="restart"/>
            <w:vAlign w:val="center"/>
          </w:tcPr>
          <w:p w14:paraId="0A3DE888"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0,0386</w:t>
            </w:r>
            <w:r w:rsidRPr="00F3553B">
              <w:rPr>
                <w:rFonts w:ascii="Times New Roman" w:eastAsia="DengXian" w:hAnsi="Times New Roman" w:cs="Times New Roman"/>
                <w:sz w:val="20"/>
                <w:szCs w:val="20"/>
                <w:vertAlign w:val="superscript"/>
                <w:lang w:eastAsia="en-US"/>
              </w:rPr>
              <w:t>†</w:t>
            </w:r>
          </w:p>
        </w:tc>
      </w:tr>
      <w:tr w:rsidR="003E1EF7" w:rsidRPr="00F3553B" w14:paraId="5571D329" w14:textId="77777777" w:rsidTr="005D1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5DA9AA5C" w14:textId="77777777" w:rsidR="003E1EF7" w:rsidRPr="00F3553B" w:rsidRDefault="003E1EF7" w:rsidP="00F3553B">
            <w:pPr>
              <w:contextualSpacing/>
              <w:rPr>
                <w:rFonts w:ascii="Times New Roman" w:eastAsia="DengXian" w:hAnsi="Times New Roman" w:cs="Times New Roman"/>
                <w:b w:val="0"/>
                <w:sz w:val="20"/>
                <w:szCs w:val="20"/>
                <w:lang w:eastAsia="en-US"/>
              </w:rPr>
            </w:pPr>
            <w:r w:rsidRPr="00F3553B">
              <w:rPr>
                <w:rFonts w:ascii="Times New Roman" w:eastAsia="DengXian" w:hAnsi="Times New Roman" w:cs="Times New Roman"/>
                <w:b w:val="0"/>
                <w:sz w:val="20"/>
                <w:szCs w:val="20"/>
                <w:lang w:eastAsia="en-US"/>
              </w:rPr>
              <w:t>&gt;32, &lt;46</w:t>
            </w:r>
          </w:p>
        </w:tc>
        <w:tc>
          <w:tcPr>
            <w:tcW w:w="1277" w:type="dxa"/>
            <w:vAlign w:val="center"/>
          </w:tcPr>
          <w:p w14:paraId="50F97392"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18 (40,00%)</w:t>
            </w:r>
          </w:p>
        </w:tc>
        <w:tc>
          <w:tcPr>
            <w:tcW w:w="1889" w:type="dxa"/>
            <w:vAlign w:val="center"/>
          </w:tcPr>
          <w:p w14:paraId="0CD39450" w14:textId="77777777" w:rsidR="003E1EF7" w:rsidRPr="00F3553B" w:rsidRDefault="003E1EF7" w:rsidP="00F3553B">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75,44 (57,47-87,42)</w:t>
            </w:r>
          </w:p>
        </w:tc>
        <w:tc>
          <w:tcPr>
            <w:tcW w:w="1262" w:type="dxa"/>
            <w:vMerge/>
          </w:tcPr>
          <w:p w14:paraId="2BED8699" w14:textId="77777777" w:rsidR="003E1EF7" w:rsidRPr="00F3553B" w:rsidRDefault="003E1EF7" w:rsidP="00F3553B">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p>
        </w:tc>
        <w:tc>
          <w:tcPr>
            <w:tcW w:w="2250" w:type="dxa"/>
            <w:vAlign w:val="center"/>
          </w:tcPr>
          <w:p w14:paraId="525164A3" w14:textId="77777777" w:rsidR="003E1EF7" w:rsidRPr="00F3553B" w:rsidRDefault="003E1EF7" w:rsidP="00F3553B">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163,10 (84,45-292,00)</w:t>
            </w:r>
          </w:p>
        </w:tc>
        <w:tc>
          <w:tcPr>
            <w:tcW w:w="1170" w:type="dxa"/>
            <w:vMerge/>
            <w:vAlign w:val="center"/>
          </w:tcPr>
          <w:p w14:paraId="178E9EE1"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p>
        </w:tc>
      </w:tr>
      <w:tr w:rsidR="003E1EF7" w:rsidRPr="00F3553B" w14:paraId="11B416C3" w14:textId="77777777" w:rsidTr="005D19FF">
        <w:tc>
          <w:tcPr>
            <w:cnfStyle w:val="001000000000" w:firstRow="0" w:lastRow="0" w:firstColumn="1" w:lastColumn="0" w:oddVBand="0" w:evenVBand="0" w:oddHBand="0" w:evenHBand="0" w:firstRowFirstColumn="0" w:firstRowLastColumn="0" w:lastRowFirstColumn="0" w:lastRowLastColumn="0"/>
            <w:tcW w:w="1242" w:type="dxa"/>
            <w:vAlign w:val="center"/>
          </w:tcPr>
          <w:p w14:paraId="51D72D37" w14:textId="77777777" w:rsidR="003E1EF7" w:rsidRPr="00F3553B" w:rsidRDefault="003E1EF7" w:rsidP="00F3553B">
            <w:pPr>
              <w:contextualSpacing/>
              <w:rPr>
                <w:rFonts w:ascii="Times New Roman" w:eastAsia="DengXian" w:hAnsi="Times New Roman" w:cs="Times New Roman"/>
                <w:b w:val="0"/>
                <w:sz w:val="20"/>
                <w:szCs w:val="20"/>
                <w:lang w:eastAsia="en-US"/>
              </w:rPr>
            </w:pPr>
            <w:r w:rsidRPr="00F3553B">
              <w:rPr>
                <w:rFonts w:ascii="Times New Roman" w:eastAsia="DengXian" w:hAnsi="Times New Roman" w:cs="Times New Roman"/>
                <w:b w:val="0"/>
                <w:sz w:val="20"/>
                <w:szCs w:val="20"/>
                <w:lang w:eastAsia="en-US"/>
              </w:rPr>
              <w:t>≥46</w:t>
            </w:r>
          </w:p>
        </w:tc>
        <w:tc>
          <w:tcPr>
            <w:tcW w:w="1277" w:type="dxa"/>
            <w:vAlign w:val="center"/>
          </w:tcPr>
          <w:p w14:paraId="46EE6EF2"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17 (37,78%)</w:t>
            </w:r>
          </w:p>
        </w:tc>
        <w:tc>
          <w:tcPr>
            <w:tcW w:w="1889" w:type="dxa"/>
            <w:vAlign w:val="center"/>
          </w:tcPr>
          <w:p w14:paraId="44231D32"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78,83 (70,47-92,46)</w:t>
            </w:r>
          </w:p>
        </w:tc>
        <w:tc>
          <w:tcPr>
            <w:tcW w:w="1262" w:type="dxa"/>
            <w:vMerge/>
          </w:tcPr>
          <w:p w14:paraId="1223D47E"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p>
        </w:tc>
        <w:tc>
          <w:tcPr>
            <w:tcW w:w="2250" w:type="dxa"/>
            <w:vAlign w:val="center"/>
          </w:tcPr>
          <w:p w14:paraId="039BAAA3"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380,00 (92,75-664,10)</w:t>
            </w:r>
          </w:p>
        </w:tc>
        <w:tc>
          <w:tcPr>
            <w:tcW w:w="1170" w:type="dxa"/>
            <w:vMerge/>
            <w:vAlign w:val="center"/>
          </w:tcPr>
          <w:p w14:paraId="05EDDFEC"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p>
        </w:tc>
      </w:tr>
      <w:tr w:rsidR="009C683C" w:rsidRPr="00F3553B" w14:paraId="76C8598D" w14:textId="77777777" w:rsidTr="003E1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0" w:type="dxa"/>
            <w:gridSpan w:val="6"/>
            <w:tcBorders>
              <w:top w:val="none" w:sz="0" w:space="0" w:color="auto"/>
              <w:bottom w:val="none" w:sz="0" w:space="0" w:color="auto"/>
            </w:tcBorders>
            <w:vAlign w:val="center"/>
          </w:tcPr>
          <w:p w14:paraId="44D9E8E4" w14:textId="77777777" w:rsidR="009C683C" w:rsidRPr="00F3553B" w:rsidRDefault="009C683C" w:rsidP="00F3553B">
            <w:pPr>
              <w:contextualSpacing/>
              <w:rPr>
                <w:rFonts w:ascii="Times New Roman" w:eastAsiaTheme="minorHAnsi" w:hAnsi="Times New Roman" w:cs="Times New Roman"/>
                <w:b w:val="0"/>
                <w:sz w:val="20"/>
                <w:szCs w:val="20"/>
                <w:lang w:eastAsia="en-US"/>
              </w:rPr>
            </w:pPr>
            <w:r w:rsidRPr="00F3553B">
              <w:rPr>
                <w:rFonts w:ascii="Times New Roman" w:eastAsia="DengXian" w:hAnsi="Times New Roman" w:cs="Times New Roman"/>
                <w:b w:val="0"/>
                <w:sz w:val="20"/>
                <w:szCs w:val="20"/>
                <w:lang w:eastAsia="en-US"/>
              </w:rPr>
              <w:t>Giới tính</w:t>
            </w:r>
          </w:p>
        </w:tc>
      </w:tr>
      <w:tr w:rsidR="003E1EF7" w:rsidRPr="00F3553B" w14:paraId="0A66D64E" w14:textId="77777777" w:rsidTr="005D19FF">
        <w:tc>
          <w:tcPr>
            <w:cnfStyle w:val="001000000000" w:firstRow="0" w:lastRow="0" w:firstColumn="1" w:lastColumn="0" w:oddVBand="0" w:evenVBand="0" w:oddHBand="0" w:evenHBand="0" w:firstRowFirstColumn="0" w:firstRowLastColumn="0" w:lastRowFirstColumn="0" w:lastRowLastColumn="0"/>
            <w:tcW w:w="1242" w:type="dxa"/>
            <w:vAlign w:val="center"/>
          </w:tcPr>
          <w:p w14:paraId="1B97237B" w14:textId="77777777" w:rsidR="003E1EF7" w:rsidRPr="00F3553B" w:rsidRDefault="003E1EF7" w:rsidP="00F3553B">
            <w:pPr>
              <w:contextualSpacing/>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eastAsia="en-US"/>
              </w:rPr>
              <w:t>Nam</w:t>
            </w:r>
          </w:p>
        </w:tc>
        <w:tc>
          <w:tcPr>
            <w:tcW w:w="1277" w:type="dxa"/>
            <w:vAlign w:val="center"/>
          </w:tcPr>
          <w:p w14:paraId="1038F5A3"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11 (24,44%)</w:t>
            </w:r>
          </w:p>
        </w:tc>
        <w:tc>
          <w:tcPr>
            <w:tcW w:w="1889" w:type="dxa"/>
            <w:vAlign w:val="center"/>
          </w:tcPr>
          <w:p w14:paraId="74341A6B"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78,83 (59,39-93,16)</w:t>
            </w:r>
          </w:p>
        </w:tc>
        <w:tc>
          <w:tcPr>
            <w:tcW w:w="1262" w:type="dxa"/>
            <w:vMerge w:val="restart"/>
            <w:vAlign w:val="center"/>
          </w:tcPr>
          <w:p w14:paraId="0DE68185"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0,5796</w:t>
            </w:r>
            <w:r w:rsidRPr="00F3553B">
              <w:rPr>
                <w:rFonts w:ascii="Times New Roman" w:eastAsia="DengXian" w:hAnsi="Times New Roman" w:cs="Times New Roman"/>
                <w:sz w:val="20"/>
                <w:szCs w:val="20"/>
                <w:vertAlign w:val="superscript"/>
                <w:lang w:eastAsia="en-US"/>
              </w:rPr>
              <w:t>††</w:t>
            </w:r>
          </w:p>
        </w:tc>
        <w:tc>
          <w:tcPr>
            <w:tcW w:w="2250" w:type="dxa"/>
            <w:vAlign w:val="center"/>
          </w:tcPr>
          <w:p w14:paraId="5F038E87"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245,60 (66,26-652,60)</w:t>
            </w:r>
          </w:p>
        </w:tc>
        <w:tc>
          <w:tcPr>
            <w:tcW w:w="1170" w:type="dxa"/>
            <w:vMerge w:val="restart"/>
            <w:vAlign w:val="center"/>
          </w:tcPr>
          <w:p w14:paraId="267FA843"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0,8210</w:t>
            </w:r>
            <w:r w:rsidRPr="00F3553B">
              <w:rPr>
                <w:rFonts w:ascii="Times New Roman" w:eastAsia="DengXian" w:hAnsi="Times New Roman" w:cs="Times New Roman"/>
                <w:sz w:val="20"/>
                <w:szCs w:val="20"/>
                <w:vertAlign w:val="superscript"/>
                <w:lang w:eastAsia="en-US"/>
              </w:rPr>
              <w:t>††</w:t>
            </w:r>
          </w:p>
        </w:tc>
      </w:tr>
      <w:tr w:rsidR="003E1EF7" w:rsidRPr="00F3553B" w14:paraId="1C2949A9" w14:textId="77777777" w:rsidTr="005D1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51032AEB" w14:textId="77777777" w:rsidR="003E1EF7" w:rsidRPr="00F3553B" w:rsidRDefault="003E1EF7" w:rsidP="00F3553B">
            <w:pPr>
              <w:contextualSpacing/>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eastAsia="en-US"/>
              </w:rPr>
              <w:t>Nữ</w:t>
            </w:r>
          </w:p>
        </w:tc>
        <w:tc>
          <w:tcPr>
            <w:tcW w:w="1277" w:type="dxa"/>
            <w:vAlign w:val="center"/>
          </w:tcPr>
          <w:p w14:paraId="01924D4B"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34 (75,56%)</w:t>
            </w:r>
          </w:p>
        </w:tc>
        <w:tc>
          <w:tcPr>
            <w:tcW w:w="1889" w:type="dxa"/>
            <w:vAlign w:val="center"/>
          </w:tcPr>
          <w:p w14:paraId="64ABFA81" w14:textId="77777777" w:rsidR="003E1EF7" w:rsidRPr="00F3553B" w:rsidRDefault="003E1EF7" w:rsidP="00F3553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76,84 (59,19-91,21)</w:t>
            </w:r>
          </w:p>
        </w:tc>
        <w:tc>
          <w:tcPr>
            <w:tcW w:w="1262" w:type="dxa"/>
            <w:vMerge/>
          </w:tcPr>
          <w:p w14:paraId="34B612E9"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p>
        </w:tc>
        <w:tc>
          <w:tcPr>
            <w:tcW w:w="2250" w:type="dxa"/>
            <w:vAlign w:val="center"/>
          </w:tcPr>
          <w:p w14:paraId="4800571A"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248,20 (114,20-601,50)</w:t>
            </w:r>
          </w:p>
        </w:tc>
        <w:tc>
          <w:tcPr>
            <w:tcW w:w="1170" w:type="dxa"/>
            <w:vMerge/>
            <w:vAlign w:val="center"/>
          </w:tcPr>
          <w:p w14:paraId="501A4DD8"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p>
        </w:tc>
      </w:tr>
      <w:tr w:rsidR="009C683C" w:rsidRPr="00F3553B" w14:paraId="2FE9055E" w14:textId="77777777" w:rsidTr="003E1EF7">
        <w:trPr>
          <w:trHeight w:val="62"/>
        </w:trPr>
        <w:tc>
          <w:tcPr>
            <w:cnfStyle w:val="001000000000" w:firstRow="0" w:lastRow="0" w:firstColumn="1" w:lastColumn="0" w:oddVBand="0" w:evenVBand="0" w:oddHBand="0" w:evenHBand="0" w:firstRowFirstColumn="0" w:firstRowLastColumn="0" w:lastRowFirstColumn="0" w:lastRowLastColumn="0"/>
            <w:tcW w:w="9090" w:type="dxa"/>
            <w:gridSpan w:val="6"/>
            <w:vAlign w:val="center"/>
          </w:tcPr>
          <w:p w14:paraId="76FBAB56" w14:textId="77777777" w:rsidR="009C683C" w:rsidRPr="00F3553B" w:rsidRDefault="009C683C" w:rsidP="00F3553B">
            <w:pPr>
              <w:contextualSpacing/>
              <w:rPr>
                <w:rFonts w:ascii="Times New Roman" w:eastAsiaTheme="minorHAnsi" w:hAnsi="Times New Roman" w:cs="Times New Roman"/>
                <w:b w:val="0"/>
                <w:sz w:val="20"/>
                <w:szCs w:val="20"/>
                <w:lang w:eastAsia="en-US"/>
              </w:rPr>
            </w:pPr>
            <w:r w:rsidRPr="00F3553B">
              <w:rPr>
                <w:rFonts w:ascii="Times New Roman" w:eastAsiaTheme="minorHAnsi" w:hAnsi="Times New Roman" w:cs="Times New Roman"/>
                <w:b w:val="0"/>
                <w:sz w:val="20"/>
                <w:szCs w:val="20"/>
                <w:lang w:eastAsia="en-US"/>
              </w:rPr>
              <w:t>Kết quả xét nghiệm AQP4-IgG</w:t>
            </w:r>
          </w:p>
        </w:tc>
      </w:tr>
      <w:tr w:rsidR="003E1EF7" w:rsidRPr="00F3553B" w14:paraId="1D8DDA15" w14:textId="77777777" w:rsidTr="005D19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546383DC" w14:textId="77777777" w:rsidR="003E1EF7" w:rsidRPr="00F3553B" w:rsidRDefault="003E1EF7" w:rsidP="00F3553B">
            <w:pPr>
              <w:contextualSpacing/>
              <w:rPr>
                <w:rFonts w:ascii="Times New Roman" w:eastAsiaTheme="minorHAnsi" w:hAnsi="Times New Roman" w:cs="Times New Roman"/>
                <w:b w:val="0"/>
                <w:sz w:val="20"/>
                <w:szCs w:val="20"/>
                <w:lang w:val="vi-VN" w:eastAsia="en-US"/>
              </w:rPr>
            </w:pPr>
            <w:r w:rsidRPr="00F3553B">
              <w:rPr>
                <w:rFonts w:ascii="Times New Roman" w:eastAsiaTheme="minorHAnsi" w:hAnsi="Times New Roman" w:cs="Times New Roman"/>
                <w:b w:val="0"/>
                <w:sz w:val="20"/>
                <w:szCs w:val="20"/>
                <w:lang w:val="vi-VN" w:eastAsia="en-US"/>
              </w:rPr>
              <w:t>(+)</w:t>
            </w:r>
          </w:p>
        </w:tc>
        <w:tc>
          <w:tcPr>
            <w:tcW w:w="1277" w:type="dxa"/>
            <w:vAlign w:val="center"/>
          </w:tcPr>
          <w:p w14:paraId="08C66385"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16 (35,56%)</w:t>
            </w:r>
          </w:p>
        </w:tc>
        <w:tc>
          <w:tcPr>
            <w:tcW w:w="1889" w:type="dxa"/>
            <w:vAlign w:val="center"/>
          </w:tcPr>
          <w:p w14:paraId="3DE49B91" w14:textId="77777777" w:rsidR="003E1EF7" w:rsidRPr="00F3553B" w:rsidRDefault="003E1EF7" w:rsidP="00F3553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78,64 (62,68-92,92)</w:t>
            </w:r>
          </w:p>
        </w:tc>
        <w:tc>
          <w:tcPr>
            <w:tcW w:w="1262" w:type="dxa"/>
            <w:vMerge w:val="restart"/>
            <w:vAlign w:val="center"/>
          </w:tcPr>
          <w:p w14:paraId="0630D0A3" w14:textId="77777777" w:rsidR="003E1EF7" w:rsidRPr="00F3553B" w:rsidRDefault="003E1EF7" w:rsidP="00F3553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0,6098</w:t>
            </w:r>
            <w:r w:rsidRPr="00F3553B">
              <w:rPr>
                <w:rFonts w:ascii="Times New Roman" w:eastAsia="DengXian" w:hAnsi="Times New Roman" w:cs="Times New Roman"/>
                <w:sz w:val="20"/>
                <w:szCs w:val="20"/>
                <w:vertAlign w:val="superscript"/>
                <w:lang w:eastAsia="en-US"/>
              </w:rPr>
              <w:t>††</w:t>
            </w:r>
          </w:p>
        </w:tc>
        <w:tc>
          <w:tcPr>
            <w:tcW w:w="2250" w:type="dxa"/>
            <w:vAlign w:val="center"/>
          </w:tcPr>
          <w:p w14:paraId="19C0B138" w14:textId="77777777" w:rsidR="003E1EF7" w:rsidRPr="00F3553B" w:rsidRDefault="003E1EF7" w:rsidP="00F3553B">
            <w:pPr>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231,70 (134,60-728,10)</w:t>
            </w:r>
          </w:p>
        </w:tc>
        <w:tc>
          <w:tcPr>
            <w:tcW w:w="1170" w:type="dxa"/>
            <w:vMerge w:val="restart"/>
            <w:vAlign w:val="center"/>
          </w:tcPr>
          <w:p w14:paraId="105B6712" w14:textId="77777777" w:rsidR="003E1EF7" w:rsidRPr="00F3553B" w:rsidRDefault="003E1EF7" w:rsidP="00F3553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0,8281</w:t>
            </w:r>
            <w:r w:rsidRPr="00F3553B">
              <w:rPr>
                <w:rFonts w:ascii="Times New Roman" w:eastAsia="DengXian" w:hAnsi="Times New Roman" w:cs="Times New Roman"/>
                <w:sz w:val="20"/>
                <w:szCs w:val="20"/>
                <w:vertAlign w:val="superscript"/>
                <w:lang w:eastAsia="en-US"/>
              </w:rPr>
              <w:t>††</w:t>
            </w:r>
          </w:p>
        </w:tc>
      </w:tr>
      <w:tr w:rsidR="003E1EF7" w:rsidRPr="00F3553B" w14:paraId="45299F5E" w14:textId="77777777" w:rsidTr="005D19FF">
        <w:trPr>
          <w:trHeight w:val="90"/>
        </w:trPr>
        <w:tc>
          <w:tcPr>
            <w:cnfStyle w:val="001000000000" w:firstRow="0" w:lastRow="0" w:firstColumn="1" w:lastColumn="0" w:oddVBand="0" w:evenVBand="0" w:oddHBand="0" w:evenHBand="0" w:firstRowFirstColumn="0" w:firstRowLastColumn="0" w:lastRowFirstColumn="0" w:lastRowLastColumn="0"/>
            <w:tcW w:w="1242" w:type="dxa"/>
            <w:vAlign w:val="center"/>
          </w:tcPr>
          <w:p w14:paraId="62C1A9C8" w14:textId="77777777" w:rsidR="003E1EF7" w:rsidRPr="00F3553B" w:rsidRDefault="003E1EF7" w:rsidP="00F3553B">
            <w:pPr>
              <w:contextualSpacing/>
              <w:rPr>
                <w:rFonts w:ascii="Times New Roman" w:eastAsiaTheme="minorHAnsi" w:hAnsi="Times New Roman" w:cs="Times New Roman"/>
                <w:b w:val="0"/>
                <w:sz w:val="20"/>
                <w:szCs w:val="20"/>
                <w:lang w:val="vi-VN" w:eastAsia="en-US"/>
              </w:rPr>
            </w:pPr>
            <w:r w:rsidRPr="00F3553B">
              <w:rPr>
                <w:rFonts w:ascii="Times New Roman" w:eastAsiaTheme="minorHAnsi" w:hAnsi="Times New Roman" w:cs="Times New Roman"/>
                <w:b w:val="0"/>
                <w:sz w:val="20"/>
                <w:szCs w:val="20"/>
                <w:lang w:val="vi-VN" w:eastAsia="en-US"/>
              </w:rPr>
              <w:t>(-)</w:t>
            </w:r>
          </w:p>
        </w:tc>
        <w:tc>
          <w:tcPr>
            <w:tcW w:w="1277" w:type="dxa"/>
            <w:vAlign w:val="center"/>
          </w:tcPr>
          <w:p w14:paraId="3A9B5937"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29 (64,44%)</w:t>
            </w:r>
          </w:p>
        </w:tc>
        <w:tc>
          <w:tcPr>
            <w:tcW w:w="1889" w:type="dxa"/>
            <w:vAlign w:val="center"/>
          </w:tcPr>
          <w:p w14:paraId="74BA5A9C" w14:textId="77777777" w:rsidR="003E1EF7" w:rsidRPr="00F3553B" w:rsidRDefault="003E1EF7" w:rsidP="00F3553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76,84 (55,55-88,09)</w:t>
            </w:r>
          </w:p>
        </w:tc>
        <w:tc>
          <w:tcPr>
            <w:tcW w:w="1262" w:type="dxa"/>
            <w:vMerge/>
          </w:tcPr>
          <w:p w14:paraId="2C330563"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p>
        </w:tc>
        <w:tc>
          <w:tcPr>
            <w:tcW w:w="2250" w:type="dxa"/>
            <w:vAlign w:val="center"/>
          </w:tcPr>
          <w:p w14:paraId="3C628467"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r w:rsidRPr="00F3553B">
              <w:rPr>
                <w:rFonts w:ascii="Times New Roman" w:eastAsiaTheme="minorHAnsi" w:hAnsi="Times New Roman" w:cs="Times New Roman"/>
                <w:sz w:val="20"/>
                <w:szCs w:val="20"/>
                <w:lang w:eastAsia="en-US"/>
              </w:rPr>
              <w:t>245,60 (100,60-602,60)</w:t>
            </w:r>
          </w:p>
        </w:tc>
        <w:tc>
          <w:tcPr>
            <w:tcW w:w="1170" w:type="dxa"/>
            <w:vMerge/>
            <w:vAlign w:val="center"/>
          </w:tcPr>
          <w:p w14:paraId="2A7E2A4D" w14:textId="77777777" w:rsidR="003E1EF7" w:rsidRPr="00F3553B" w:rsidRDefault="003E1EF7" w:rsidP="00F3553B">
            <w:pPr>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0"/>
                <w:szCs w:val="20"/>
                <w:lang w:eastAsia="en-US"/>
              </w:rPr>
            </w:pPr>
          </w:p>
        </w:tc>
      </w:tr>
      <w:tr w:rsidR="009C683C" w:rsidRPr="00F3553B" w14:paraId="1D7ABA97" w14:textId="77777777" w:rsidTr="003E1EF7">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9090" w:type="dxa"/>
            <w:gridSpan w:val="6"/>
            <w:tcBorders>
              <w:top w:val="none" w:sz="0" w:space="0" w:color="auto"/>
              <w:bottom w:val="none" w:sz="0" w:space="0" w:color="auto"/>
            </w:tcBorders>
            <w:vAlign w:val="center"/>
          </w:tcPr>
          <w:p w14:paraId="68D3B95B" w14:textId="73CA43E1" w:rsidR="009C683C" w:rsidRPr="00F3553B" w:rsidRDefault="009C683C" w:rsidP="00F3553B">
            <w:pPr>
              <w:pStyle w:val="noidungbangctrl9"/>
              <w:jc w:val="both"/>
              <w:rPr>
                <w:rFonts w:eastAsiaTheme="minorHAnsi"/>
                <w:b w:val="0"/>
                <w:lang w:eastAsia="en-US"/>
              </w:rPr>
            </w:pPr>
            <w:r w:rsidRPr="00F3553B">
              <w:rPr>
                <w:rFonts w:eastAsiaTheme="minorHAnsi"/>
                <w:b w:val="0"/>
                <w:lang w:eastAsia="en-US"/>
              </w:rPr>
              <w:t xml:space="preserve">Ghi chú: </w:t>
            </w:r>
            <w:r w:rsidRPr="00F3553B">
              <w:rPr>
                <w:rFonts w:eastAsiaTheme="minorHAnsi"/>
                <w:b w:val="0"/>
                <w:lang w:val="vi-VN" w:eastAsia="en-US"/>
              </w:rPr>
              <w:t>MĐMĐ</w:t>
            </w:r>
            <w:r w:rsidRPr="00F3553B">
              <w:rPr>
                <w:rFonts w:eastAsiaTheme="minorHAnsi"/>
                <w:b w:val="0"/>
                <w:lang w:eastAsia="en-US"/>
              </w:rPr>
              <w:t>-</w:t>
            </w:r>
            <w:r w:rsidRPr="00F3553B">
              <w:rPr>
                <w:rFonts w:eastAsiaTheme="minorHAnsi"/>
                <w:b w:val="0"/>
                <w:lang w:val="vi-VN" w:eastAsia="en-US"/>
              </w:rPr>
              <w:t>Mức độ mất đo</w:t>
            </w:r>
            <w:r w:rsidRPr="00F3553B">
              <w:rPr>
                <w:rFonts w:eastAsiaTheme="minorHAnsi"/>
                <w:b w:val="0"/>
                <w:lang w:eastAsia="en-US"/>
              </w:rPr>
              <w:t>ạn;</w:t>
            </w:r>
            <w:r w:rsidRPr="00F3553B">
              <w:rPr>
                <w:rFonts w:eastAsiaTheme="minorHAnsi"/>
                <w:b w:val="0"/>
                <w:lang w:val="vi-VN" w:eastAsia="en-US"/>
              </w:rPr>
              <w:t xml:space="preserve"> SBS-S</w:t>
            </w:r>
            <w:r w:rsidRPr="00F3553B">
              <w:rPr>
                <w:rFonts w:eastAsiaTheme="minorHAnsi"/>
                <w:b w:val="0"/>
                <w:lang w:eastAsia="en-US"/>
              </w:rPr>
              <w:t>ố</w:t>
            </w:r>
            <w:r w:rsidRPr="00F3553B">
              <w:rPr>
                <w:rFonts w:eastAsiaTheme="minorHAnsi"/>
                <w:b w:val="0"/>
                <w:lang w:val="vi-VN" w:eastAsia="en-US"/>
              </w:rPr>
              <w:t xml:space="preserve"> bản </w:t>
            </w:r>
            <w:r w:rsidRPr="00F3553B">
              <w:rPr>
                <w:rFonts w:eastAsiaTheme="minorHAnsi"/>
                <w:b w:val="0"/>
                <w:lang w:eastAsia="en-US"/>
              </w:rPr>
              <w:t>sao;</w:t>
            </w:r>
            <w:r w:rsidRPr="00F3553B">
              <w:rPr>
                <w:rFonts w:eastAsiaTheme="minorHAnsi"/>
                <w:b w:val="0"/>
                <w:lang w:val="vi-VN" w:eastAsia="en-US"/>
              </w:rPr>
              <w:t xml:space="preserve"> (+)</w:t>
            </w:r>
            <w:r w:rsidRPr="00F3553B">
              <w:rPr>
                <w:rFonts w:eastAsiaTheme="minorHAnsi"/>
                <w:b w:val="0"/>
                <w:lang w:eastAsia="en-US"/>
              </w:rPr>
              <w:t>-</w:t>
            </w:r>
            <w:r w:rsidRPr="00F3553B">
              <w:rPr>
                <w:rFonts w:eastAsiaTheme="minorHAnsi"/>
                <w:b w:val="0"/>
                <w:lang w:val="vi-VN" w:eastAsia="en-US"/>
              </w:rPr>
              <w:t xml:space="preserve"> Kết quả xét nghiệm dương tính với AQP4-IgG</w:t>
            </w:r>
            <w:r w:rsidRPr="00F3553B">
              <w:rPr>
                <w:rFonts w:eastAsiaTheme="minorHAnsi"/>
                <w:b w:val="0"/>
                <w:lang w:eastAsia="en-US"/>
              </w:rPr>
              <w:t>;</w:t>
            </w:r>
            <w:r w:rsidRPr="00F3553B">
              <w:rPr>
                <w:rFonts w:eastAsiaTheme="minorHAnsi"/>
                <w:b w:val="0"/>
                <w:lang w:val="vi-VN" w:eastAsia="en-US"/>
              </w:rPr>
              <w:t xml:space="preserve"> (-)</w:t>
            </w:r>
            <w:r w:rsidRPr="00F3553B">
              <w:rPr>
                <w:rFonts w:eastAsiaTheme="minorHAnsi"/>
                <w:b w:val="0"/>
                <w:lang w:eastAsia="en-US"/>
              </w:rPr>
              <w:t>-</w:t>
            </w:r>
            <w:r w:rsidRPr="00F3553B">
              <w:rPr>
                <w:rFonts w:eastAsiaTheme="minorHAnsi"/>
                <w:b w:val="0"/>
                <w:lang w:val="vi-VN" w:eastAsia="en-US"/>
              </w:rPr>
              <w:t>Kết quả xét nghiệm âm tính với AQP4-IgG</w:t>
            </w:r>
            <w:r w:rsidRPr="00F3553B">
              <w:rPr>
                <w:rFonts w:eastAsiaTheme="minorHAnsi"/>
                <w:b w:val="0"/>
                <w:lang w:eastAsia="en-US"/>
              </w:rPr>
              <w:t>;</w:t>
            </w:r>
            <w:r w:rsidRPr="00F3553B">
              <w:rPr>
                <w:rFonts w:eastAsiaTheme="minorHAnsi"/>
                <w:b w:val="0"/>
                <w:lang w:val="vi-VN" w:eastAsia="en-US"/>
              </w:rPr>
              <w:t xml:space="preserve"> </w:t>
            </w:r>
            <w:r w:rsidRPr="00F3553B">
              <w:rPr>
                <w:rFonts w:eastAsiaTheme="minorHAnsi"/>
                <w:b w:val="0"/>
                <w:lang w:eastAsia="en-US"/>
              </w:rPr>
              <w:t xml:space="preserve">†-Giá trị P thu được từ kiểm định Kruskal-Wallis; ††-Giá trị P thu được từ kiểm định Mann-Whitney; Giá trị </w:t>
            </w:r>
            <w:r w:rsidRPr="00F3553B">
              <w:rPr>
                <w:rFonts w:eastAsiaTheme="minorHAnsi"/>
                <w:b w:val="0"/>
                <w:iCs/>
                <w:lang w:eastAsia="en-US"/>
              </w:rPr>
              <w:t>P</w:t>
            </w:r>
            <w:r w:rsidRPr="00F3553B">
              <w:rPr>
                <w:rFonts w:eastAsiaTheme="minorHAnsi"/>
                <w:b w:val="0"/>
                <w:lang w:eastAsia="en-US"/>
              </w:rPr>
              <w:t xml:space="preserve"> in đậm là có ý nghĩa thống kê</w:t>
            </w:r>
            <w:r w:rsidR="003E1EF7" w:rsidRPr="00F3553B">
              <w:rPr>
                <w:rFonts w:eastAsiaTheme="minorHAnsi"/>
                <w:b w:val="0"/>
                <w:lang w:eastAsia="en-US"/>
              </w:rPr>
              <w:t>.</w:t>
            </w:r>
          </w:p>
        </w:tc>
      </w:tr>
    </w:tbl>
    <w:p w14:paraId="59A28AB1" w14:textId="77777777" w:rsidR="003E1EF7" w:rsidRPr="00F3553B" w:rsidRDefault="003E1EF7" w:rsidP="00F3553B">
      <w:pPr>
        <w:pStyle w:val="noidungctrla"/>
        <w:rPr>
          <w:bCs/>
          <w:lang w:val="vi-VN"/>
        </w:rPr>
        <w:sectPr w:rsidR="003E1EF7" w:rsidRPr="00F3553B" w:rsidSect="003E1EF7">
          <w:type w:val="continuous"/>
          <w:pgSz w:w="11907" w:h="16840" w:code="9"/>
          <w:pgMar w:top="2041" w:right="1418" w:bottom="2438" w:left="1418" w:header="1531" w:footer="2098" w:gutter="0"/>
          <w:cols w:space="567"/>
          <w:docGrid w:linePitch="360"/>
        </w:sectPr>
      </w:pPr>
    </w:p>
    <w:p w14:paraId="511CB78B" w14:textId="3AFEBCEC" w:rsidR="003E1EF7" w:rsidRPr="00F3553B" w:rsidRDefault="003E1EF7" w:rsidP="00F3553B">
      <w:pPr>
        <w:pStyle w:val="noidungctrla"/>
        <w:rPr>
          <w:bCs/>
          <w:lang w:val="vi-VN"/>
        </w:rPr>
      </w:pPr>
      <w:r w:rsidRPr="00F3553B">
        <w:rPr>
          <w:bCs/>
          <w:lang w:val="vi-VN"/>
        </w:rPr>
        <w:lastRenderedPageBreak/>
        <w:t xml:space="preserve">Bên cạnh đó, các nghiên cứu trước đây cũng ghi nhận vai trò tiềm tàng của mtDNA trong phản ứng viêm thần kinh. Ví dụ, nghiên cứu của Yamashita và cộng sự (2018) cho thấy nồng độ mtDNA ngoại bào trong dịch não tủy của bệnh </w:t>
      </w:r>
      <w:r w:rsidRPr="00F3553B">
        <w:rPr>
          <w:bCs/>
          <w:lang w:val="vi-VN"/>
        </w:rPr>
        <w:lastRenderedPageBreak/>
        <w:t xml:space="preserve">nhân NMOSD tăng cao trong giai đoạn cấp tính, phản ánh vai trò của nó trong phản ứng viêm </w:t>
      </w:r>
      <w:r w:rsidRPr="00F3553B">
        <w:rPr>
          <w:bCs/>
          <w:lang w:val="vi-VN"/>
        </w:rPr>
        <w:fldChar w:fldCharType="begin" w:fldLock="1"/>
      </w:r>
      <w:r w:rsidRPr="00F3553B">
        <w:rPr>
          <w:bCs/>
          <w:lang w:val="vi-VN"/>
        </w:rPr>
        <w:instrText>ADDIN CSL_CITATION {"citationItems":[{"id":"ITEM-1","itemData":{"DOI":"10.1186/s12974-018-1162-0","ISSN":"17422094","PMID":"29703264","abstract":"Background: Neuromyelitis optica spectrum disorder (NMOSD) is an inflammatory disease of the central nervous system. Although complement-dependent astrocyte damage mediated by anti-aquaporin 4 autoantibody (AQP4-Ab) is well acknowledged to be the core of NMOSD pathogenesis, additional inflammatory cascades may contribute to the establishment of lesion formation. Thus, in this study, we investigated the possible pathogenic role of immune-reactive mitochondrial DNA (mtDNA) in cerebrospinal fluid (CSF) of NMOSD patients. Methods: Using quantitative polymerase chain reaction, we measured extracellular mtDNA levels in CSF of NMOSD patients positive for AQP4-Ab. Patients with multiple sclerosis or other neurological diseases were examined as controls. Pre- and post-treatment extracellular mtDNA levels were also compared in the NMOSD group. Extracellular mtDNA release from human astrocytes was analyzed in vitro utilizing NMOSD sera, and interleukin (IL)-1β production was measured in supernatants of mixed glial cells stimulated with DNA fraction of CSF derived from NMOSD patients. Furthermore, specific innate immune pathways mediating the IL-1β production by mtDNA were investigated in peripheral blood mononuclear cells with selective inhibitors of Toll-like receptor 9 (TLR9) and NOD-like receptor protein 3 (NLRP3) inflammasomes. Results: Extracellular mtDNA level was specifically elevated in acute phase of NMOSD CSF. In vitro studies provided the evidence that mtDNA is released from human astrocytes by NMOSD sera. In addition, DNA fraction isolated from NMOSD CSF promoted secretion of IL-1β from mixed glial cells. Selective inhibition of TLR9 and NLRP3 inflammasomes revealed that mtDNA-mediated IL-1β production depends on specific innate immune pathways. Conclusion: Extracellular mtDNA is specifically elevated in the CSF of patients with acute phase NMOSD, and mtDNA released by AQP4-Ab-mediated cellular damage elicits the innate immune cascades via TLR9 and NLRP3 inflammasomes pathways. Our study highlights mtDNA-mediated innate immune pathways as a novel therapeutic target for future treatment of NMOSD patients.","author":[{"dropping-particle":"","family":"Yamashita","given":"Kazuya","non-dropping-particle":"","parse-names":false,"suffix":""},{"dropping-particle":"","family":"Kinoshita","given":"Makoto","non-dropping-particle":"","parse-names":false,"suffix":""},{"dropping-particle":"","family":"Miyamoto","given":"Katsuichi","non-dropping-particle":"","parse-names":false,"suffix":""},{"dropping-particle":"","family":"Namba","given":"Akiko","non-dropping-particle":"","parse-names":false,"suffix":""},{"dropping-particle":"","family":"Shimizu","given":"Mikito","non-dropping-particle":"","parse-names":false,"suffix":""},{"dropping-particle":"","family":"Koda","given":"Toru","non-dropping-particle":"","parse-names":false,"suffix":""},{"dropping-particle":"","family":"Sugimoto","given":"Tomoyuki","non-dropping-particle":"","parse-names":false,"suffix":""},{"dropping-particle":"","family":"Mori","given":"Yuki","non-dropping-particle":"","parse-names":false,"suffix":""},{"dropping-particle":"","family":"Yoshioka","given":"Yoshichika","non-dropping-particle":"","parse-names":false,"suffix":""},{"dropping-particle":"","family":"Nakatsuji","given":"Yuji","non-dropping-particle":"","parse-names":false,"suffix":""},{"dropping-particle":"","family":"Kumanogoh","given":"Atsushi","non-dropping-particle":"","parse-names":false,"suffix":""},{"dropping-particle":"","family":"Kusunoki","given":"Susumu","non-dropping-particle":"","parse-names":false,"suffix":""},{"dropping-particle":"","family":"Mochizuki","given":"Hideki","non-dropping-particle":"","parse-names":false,"suffix":""},{"dropping-particle":"","family":"Okuno","given":"Tatsusada","non-dropping-particle":"","parse-names":false,"suffix":""}],"container-title":"Journal of Neuroinflammation","id":"ITEM-1","issue":"1","issued":{"date-parts":[["2018"]]},"page":"1-9","publisher":"Journal of Neuroinflammation","title":"Cerebrospinal fluid mitochondrial DNA in neuromyelitis optica spectrum disorder","type":"article-journal","volume":"15"},"uris":["http://www.mendeley.com/documents/?uuid=1b39f0d7-4d78-473b-ae43-c51d6aad4dec"]}],"mendeley":{"formattedCitation":"[6]","plainTextFormattedCitation":"[6]","previouslyFormattedCitation":"[6]"},"properties":{"noteIndex":0},"schema":"https://github.com/citation-style-language/schema/raw/master/csl-citation.json"}</w:instrText>
      </w:r>
      <w:r w:rsidRPr="00F3553B">
        <w:rPr>
          <w:bCs/>
          <w:lang w:val="vi-VN"/>
        </w:rPr>
        <w:fldChar w:fldCharType="separate"/>
      </w:r>
      <w:r w:rsidRPr="00F3553B">
        <w:rPr>
          <w:bCs/>
          <w:noProof/>
          <w:lang w:val="vi-VN"/>
        </w:rPr>
        <w:t>[6]</w:t>
      </w:r>
      <w:r w:rsidRPr="00F3553B">
        <w:fldChar w:fldCharType="end"/>
      </w:r>
      <w:r w:rsidRPr="00F3553B">
        <w:rPr>
          <w:bCs/>
          <w:lang w:val="vi-VN"/>
        </w:rPr>
        <w:t xml:space="preserve">. Tương tự, nghiên cứu của Shimizu và cộng sự (2020) chỉ ra rằng mtDNA được giải phóng từ các tế bào thần kinh đệm bị tổn thương bởi kháng </w:t>
      </w:r>
      <w:r w:rsidRPr="00F3553B">
        <w:rPr>
          <w:bCs/>
          <w:lang w:val="vi-VN"/>
        </w:rPr>
        <w:lastRenderedPageBreak/>
        <w:t xml:space="preserve">thể AQP4 có thể kích hoạt các phản ứng miễn dịch bẩm sinh thông qua thụ thể Toll-like 9 (TLR9), góp phần vào quá trình viêm trong NMOSD </w:t>
      </w:r>
      <w:r w:rsidRPr="00F3553B">
        <w:rPr>
          <w:bCs/>
        </w:rPr>
        <w:fldChar w:fldCharType="begin" w:fldLock="1"/>
      </w:r>
      <w:r w:rsidRPr="00F3553B">
        <w:rPr>
          <w:bCs/>
          <w:lang w:val="vi-VN"/>
        </w:rPr>
        <w:instrText>ADDIN CSL_CITATION {"citationItems":[{"id":"ITEM-1","itemData":{"DOI":"10.1038/s41598-020-70203-x","ISBN":"0123456789","ISSN":"20452322","PMID":"32764561","abstract":"Although recent studies indicate the involvement of monocytes in accelerating the lesion formation of neuromyelitis optica spectrum disorder (NMOSD), the precise mechanism of the innate immune system activation remains elusive. Thus, in this study, we aimed to clarify the mechanisms of NMOSD pathogenesis from the viewpoint of innate immunity activation. We established anti-AQP4 recombinant autoantibodies (Ab) from plasmablasts in NMOSD patient’s CSF. Human astrocytes treated with anti-AQP4 Ab produced a significant amount of CCL2 and contributed to the efficient recruitment of monocytes. Moreover, mitochondrial DNA (mtDNA), which activated monocytes via Toll-like receptor 9 (TLR9), was released from astrocytes treated with anti-AQP4 Ab. MtDNA further enhanced CCL2 production by monocytes, and it was demonstrated that mtDNA concentration correlated with the efficiency of monocyte recruitment in the CSF of NMOSD patients. In conclusion, these observations highlight that mtDNA which was released from astrocytes damaged by anti-AQP4 Ab has a central role in establishing the inflammatory loop of monocyte recruitment and activation via an innate immunity pathway.","author":[{"dropping-particle":"","family":"Shimizu","given":"Mikito","non-dropping-particle":"","parse-names":false,"suffix":""},{"dropping-particle":"","family":"Okuno","given":"Tatsusada","non-dropping-particle":"","parse-names":false,"suffix":""},{"dropping-particle":"","family":"Kinoshita","given":"Makoto","non-dropping-particle":"","parse-names":false,"suffix":""},{"dropping-particle":"","family":"Sumi","given":"Hisae","non-dropping-particle":"","parse-names":false,"suffix":""},{"dropping-particle":"","family":"Fujimura","given":"Harutoshi","non-dropping-particle":"","parse-names":false,"suffix":""},{"dropping-particle":"","family":"Yamashita","given":"Kazuya","non-dropping-particle":"","parse-names":false,"suffix":""},{"dropping-particle":"","family":"Sugimoto","given":"Tomoyuki","non-dropping-particle":"","parse-names":false,"suffix":""},{"dropping-particle":"","family":"Sakakibara","given":"Shuhei","non-dropping-particle":"","parse-names":false,"suffix":""},{"dropping-particle":"","family":"Sakakibara","given":"Kaori","non-dropping-particle":"","parse-names":false,"suffix":""},{"dropping-particle":"","family":"Koda","given":"Toru","non-dropping-particle":"","parse-names":false,"suffix":""},{"dropping-particle":"","family":"Tada","given":"Satoru","non-dropping-particle":"","parse-names":false,"suffix":""},{"dropping-particle":"","family":"Ishikura","given":"Teruyuki","non-dropping-particle":"","parse-names":false,"suffix":""},{"dropping-particle":"","family":"Murata","given":"Hisashi","non-dropping-particle":"","parse-names":false,"suffix":""},{"dropping-particle":"","family":"Beppu","given":"Shohei","non-dropping-particle":"","parse-names":false,"suffix":""},{"dropping-particle":"","family":"Shiraishi","given":"Naoyuki","non-dropping-particle":"","parse-names":false,"suffix":""},{"dropping-particle":"","family":"Sugiyama","given":"Yasuko","non-dropping-particle":"","parse-names":false,"suffix":""},{"dropping-particle":"","family":"Nakatsuji","given":"Yuji","non-dropping-particle":"","parse-names":false,"suffix":""},{"dropping-particle":"","family":"Kumanogoh","given":"Atsushi","non-dropping-particle":"","parse-names":false,"suffix":""},{"dropping-particle":"","family":"Mochizuki","given":"Hideki","non-dropping-particle":"","parse-names":false,"suffix":""}],"container-title":"Scientific Reports","id":"ITEM-1","issue":"1","issued":{"date-parts":[["2020"]]},"page":"1-12","publisher":"Nature Publishing Group UK","title":"Mitochondrial DNA enhance innate immune responses in neuromyelitis optica by monocyte recruitment and activation","type":"article-journal","volume":"10"},"uris":["http://www.mendeley.com/documents/?uuid=324f594d-095c-4dcf-8292-cb576289587b"]}],"mendeley":{"formattedCitation":"[7]","plainTextFormattedCitation":"[7]","previouslyFormattedCitation":"[7]"},"properties":{"noteIndex":0},"schema":"https://github.com/citation-style-language/schema/raw/master/csl-citation.json"}</w:instrText>
      </w:r>
      <w:r w:rsidRPr="00F3553B">
        <w:rPr>
          <w:bCs/>
        </w:rPr>
        <w:fldChar w:fldCharType="separate"/>
      </w:r>
      <w:r w:rsidRPr="00F3553B">
        <w:rPr>
          <w:bCs/>
          <w:noProof/>
          <w:lang w:val="vi-VN"/>
        </w:rPr>
        <w:t>[7]</w:t>
      </w:r>
      <w:r w:rsidRPr="00F3553B">
        <w:rPr>
          <w:bCs/>
        </w:rPr>
        <w:fldChar w:fldCharType="end"/>
      </w:r>
      <w:r w:rsidRPr="00F3553B">
        <w:rPr>
          <w:bCs/>
          <w:lang w:val="vi-VN"/>
        </w:rPr>
        <w:t>.</w:t>
      </w:r>
    </w:p>
    <w:p w14:paraId="399C12EC" w14:textId="3266F4EB" w:rsidR="003E1EF7" w:rsidRPr="00F3553B" w:rsidRDefault="003E1EF7" w:rsidP="00F3553B">
      <w:pPr>
        <w:pStyle w:val="noidungctrla"/>
        <w:rPr>
          <w:bCs/>
          <w:lang w:val="vi-VN"/>
        </w:rPr>
      </w:pPr>
      <w:r w:rsidRPr="00F3553B">
        <w:rPr>
          <w:bCs/>
          <w:lang w:val="vi-VN"/>
        </w:rPr>
        <w:t>Tuy nhiên, các dữ liệu về số bản sao mtDNA trong bệnh tự miễn vẫn chưa thống nhất. Chẳng hạn, nghiên cứu của Ghada Al-Kafaji và cộng sự (2023) gh</w:t>
      </w:r>
      <w:r w:rsidR="0023715E" w:rsidRPr="00F3553B">
        <w:rPr>
          <w:bCs/>
          <w:lang w:val="vi-VN"/>
        </w:rPr>
        <w:t>i</w:t>
      </w:r>
      <w:r w:rsidRPr="00F3553B">
        <w:rPr>
          <w:bCs/>
          <w:lang w:val="vi-VN"/>
        </w:rPr>
        <w:t xml:space="preserve"> nhận số lượng mtDNA trong máu của bệnh nhân đa xơ cứng tái phát thấp hơn so với nhóm đối chứng (</w:t>
      </w:r>
      <w:r w:rsidRPr="00F3553B">
        <w:rPr>
          <w:bCs/>
          <w:i/>
          <w:lang w:val="vi-VN"/>
        </w:rPr>
        <w:t>P</w:t>
      </w:r>
      <w:r w:rsidRPr="00F3553B">
        <w:rPr>
          <w:bCs/>
          <w:lang w:val="vi-VN"/>
        </w:rPr>
        <w:t xml:space="preserve">&lt;0,01) </w:t>
      </w:r>
      <w:r w:rsidRPr="00F3553B">
        <w:rPr>
          <w:bCs/>
          <w:lang w:val="vi-VN"/>
        </w:rPr>
        <w:fldChar w:fldCharType="begin" w:fldLock="1"/>
      </w:r>
      <w:r w:rsidRPr="00F3553B">
        <w:rPr>
          <w:bCs/>
          <w:lang w:val="vi-VN"/>
        </w:rPr>
        <w:instrText>ADDIN CSL_CITATION {"citationItems":[{"id":"ITEM-1","itemData":{"DOI":"10.1007/s12017-019-08588-w","ISSN":"1535-1084","author":[{"dropping-particle":"","family":"Al-Kafaji","given":"Ghada","non-dropping-particle":"","parse-names":false,"suffix":""},{"dropping-particle":"","family":"Bakheit","given":"Halla F.","non-dropping-particle":"","parse-names":false,"suffix":""},{"dropping-particle":"","family":"Alharbi","given":"Maram A.","non-dropping-particle":"","parse-names":false,"suffix":""},{"dropping-particle":"","family":"Farahat","given":"Ahmad A.","non-dropping-particle":"","parse-names":false,"suffix":""},{"dropping-particle":"","family":"Jailani","given":"Mohamed","non-dropping-particle":"","parse-names":false,"suffix":""},{"dropping-particle":"","family":"Ebrahin","given":"Bashayer H.","non-dropping-particle":"","parse-names":false,"suffix":""},{"dropping-particle":"","family":"Bakhiet","given":"Moiz","non-dropping-particle":"","parse-names":false,"suffix":""}],"container-title":"NeuroMolecular Medicine","id":"ITEM-1","issue":"2","issued":{"date-parts":[["2020","6","4"]]},"page":"304-313","title":"Mitochondrial DNA Copy Number in Peripheral Blood as a Potential Non-invasive Biomarker for Multiple Sclerosis","type":"article-journal","volume":"22"},"uris":["http://www.mendeley.com/documents/?uuid=ee87315a-6b64-43b4-a08a-26828e7ba7e3"]}],"mendeley":{"formattedCitation":"[13]","plainTextFormattedCitation":"[13]"},"properties":{"noteIndex":0},"schema":"https://github.com/citation-style-language/schema/raw/master/csl-citation.json"}</w:instrText>
      </w:r>
      <w:r w:rsidRPr="00F3553B">
        <w:rPr>
          <w:bCs/>
          <w:lang w:val="vi-VN"/>
        </w:rPr>
        <w:fldChar w:fldCharType="separate"/>
      </w:r>
      <w:r w:rsidRPr="00F3553B">
        <w:rPr>
          <w:bCs/>
          <w:noProof/>
          <w:lang w:val="vi-VN"/>
        </w:rPr>
        <w:t>[13]</w:t>
      </w:r>
      <w:r w:rsidRPr="00F3553B">
        <w:rPr>
          <w:bCs/>
          <w:lang w:val="vi-VN"/>
        </w:rPr>
        <w:fldChar w:fldCharType="end"/>
      </w:r>
      <w:r w:rsidRPr="00F3553B">
        <w:rPr>
          <w:bCs/>
          <w:lang w:val="vi-VN"/>
        </w:rPr>
        <w:t>. Sự khác biệt này có thể xuất phát từ cỡ mẫu, yếu tố địa lý, hoặc khác biệt về kỹ thuật phân tích.</w:t>
      </w:r>
    </w:p>
    <w:p w14:paraId="338EC313" w14:textId="77777777" w:rsidR="003E1EF7" w:rsidRPr="00F3553B" w:rsidRDefault="003E1EF7" w:rsidP="00F3553B">
      <w:pPr>
        <w:pStyle w:val="noidungctrla"/>
        <w:rPr>
          <w:lang w:val="vi-VN"/>
        </w:rPr>
      </w:pPr>
      <w:r w:rsidRPr="00F3553B">
        <w:rPr>
          <w:lang w:val="vi-VN"/>
        </w:rPr>
        <w:t>Tóm lại, các biến đổi mtDNA, bao gồm mức độ mất đoạn lớn và số bản sao, có vai trò tiềm năng trong sinh lý bệnh NMOSD. Những thay đổi này có thể liên quan đến tuổi khởi phát bệnh và phản ứng viêm thần kinh trung ương. Tuy nhiên, cần thêm các nghiên cứu đa trung tâm với cỡ mẫu lớn hơn để làm rõ mối quan hệ nhân quả và đánh giá khả năng sử dụng mtDNA như một dấu ấn sinh học trong chẩn đoán và theo dõi điều trị NMOSD.</w:t>
      </w:r>
    </w:p>
    <w:p w14:paraId="6E011A5A" w14:textId="3CDF687C" w:rsidR="009C683C" w:rsidRPr="00F3553B" w:rsidRDefault="009C683C" w:rsidP="00F3553B">
      <w:pPr>
        <w:pStyle w:val="modauctri5"/>
        <w:rPr>
          <w:lang w:val="pt-BR"/>
        </w:rPr>
      </w:pPr>
      <w:r w:rsidRPr="00F3553B">
        <w:rPr>
          <w:lang w:val="pt-BR"/>
        </w:rPr>
        <w:t xml:space="preserve">4. Kết luận </w:t>
      </w:r>
    </w:p>
    <w:p w14:paraId="3B5CD69F" w14:textId="77777777" w:rsidR="009C683C" w:rsidRPr="00F3553B" w:rsidRDefault="009C683C" w:rsidP="00F3553B">
      <w:pPr>
        <w:pStyle w:val="noidungctrla"/>
        <w:rPr>
          <w:lang w:val="vi-VN"/>
        </w:rPr>
      </w:pPr>
      <w:r w:rsidRPr="00F3553B">
        <w:rPr>
          <w:lang w:val="vi-VN"/>
        </w:rPr>
        <w:t>Số bản sao mtDNA ở nhóm bệnh nhân mắc NMOSD trong khoảng tuổi 33-46 thấp hơn ở những bệnh nhân thuộc khoảng tuổi khác (</w:t>
      </w:r>
      <w:r w:rsidRPr="00F3553B">
        <w:rPr>
          <w:i/>
          <w:iCs/>
          <w:lang w:val="vi-VN"/>
        </w:rPr>
        <w:t>P</w:t>
      </w:r>
      <w:r w:rsidRPr="00F3553B">
        <w:rPr>
          <w:lang w:val="vi-VN"/>
        </w:rPr>
        <w:t>=0,0386), gợi ý việc giảm số bản sao tương đối mtDNA trong máu của bệnh nhân mắc NMOSD có thể đặc trưng cho bệnh ở lứa tuổi trung niên. Mặt khác, mức độ mất đoạn lớn và số bản sao mtDNA ở bệnh nhân NMOSD cao hơn so với nhóm đối chứng bình thường (</w:t>
      </w:r>
      <w:r w:rsidRPr="00F3553B">
        <w:rPr>
          <w:i/>
          <w:iCs/>
          <w:lang w:val="vi-VN"/>
        </w:rPr>
        <w:t>P</w:t>
      </w:r>
      <w:r w:rsidRPr="00F3553B">
        <w:rPr>
          <w:lang w:val="vi-VN"/>
        </w:rPr>
        <w:t>&lt;0,05). Khi mức độ mất đoạn lớn mtDNA &gt;61,98% và số bản sao mtDNA &gt;344,30 thì mô hình tiên lượng bệnh dựa vào cả 2 biến đổi mtDNA này có khả năng phân biệt trạng thái bệnh đạt 83,97%. Điều này cho thấy mức độ mất đoạn lớn và số bản sao mtDNA trong máu có thể là chỉ thị sinh học tiềm năng giúp hỗ trợ chẩn đoán NMOSD.</w:t>
      </w:r>
    </w:p>
    <w:p w14:paraId="73A26933" w14:textId="77777777" w:rsidR="009C683C" w:rsidRPr="00F3553B" w:rsidRDefault="009C683C" w:rsidP="00F3553B">
      <w:pPr>
        <w:pStyle w:val="modauctri5"/>
        <w:rPr>
          <w:lang w:val="pt-BR"/>
        </w:rPr>
      </w:pPr>
      <w:r w:rsidRPr="00F3553B">
        <w:rPr>
          <w:lang w:val="vi-VN"/>
        </w:rPr>
        <w:t>Lời cảm ơn</w:t>
      </w:r>
      <w:r w:rsidRPr="00F3553B">
        <w:rPr>
          <w:lang w:val="pt-BR"/>
        </w:rPr>
        <w:t xml:space="preserve"> </w:t>
      </w:r>
    </w:p>
    <w:p w14:paraId="38AAC8C2" w14:textId="77777777" w:rsidR="009C683C" w:rsidRPr="00F3553B" w:rsidRDefault="009C683C" w:rsidP="00F3553B">
      <w:pPr>
        <w:pStyle w:val="noidungctrla"/>
        <w:rPr>
          <w:lang w:val="nl-NL"/>
        </w:rPr>
      </w:pPr>
      <w:r w:rsidRPr="00F3553B">
        <w:rPr>
          <w:lang w:val="pt-BR"/>
        </w:rPr>
        <w:t xml:space="preserve">Nhóm tác giả xin chân thành cảm ơn các y bác sĩ của Khoa Nội tổng hợp, Bệnh viện Đại học </w:t>
      </w:r>
      <w:r w:rsidRPr="00F3553B">
        <w:rPr>
          <w:lang w:val="pt-BR"/>
        </w:rPr>
        <w:lastRenderedPageBreak/>
        <w:t>Y Hà Nội đã hỗ trợ cung cấp mẫu. Nghiên cứu được thực hiện với sự hỗ trợ kinh phí từ đề tài QG22.01.</w:t>
      </w:r>
    </w:p>
    <w:p w14:paraId="0AE47E71" w14:textId="77777777" w:rsidR="009C683C" w:rsidRPr="00F3553B" w:rsidRDefault="009C683C" w:rsidP="00F3553B">
      <w:pPr>
        <w:pStyle w:val="modauctri5"/>
        <w:rPr>
          <w:lang w:val="nl-NL"/>
        </w:rPr>
      </w:pPr>
      <w:r w:rsidRPr="00F3553B">
        <w:rPr>
          <w:lang w:val="nl-NL"/>
        </w:rPr>
        <w:t xml:space="preserve">Tài liệu tham khảo </w:t>
      </w:r>
    </w:p>
    <w:p w14:paraId="7AD35EDC" w14:textId="63D80D1F" w:rsidR="009C683C" w:rsidRPr="00F3553B" w:rsidRDefault="00624145" w:rsidP="00F3553B">
      <w:pPr>
        <w:pStyle w:val="thamkhao"/>
      </w:pPr>
      <w:r w:rsidRPr="00F3553B">
        <w:rPr>
          <w:lang w:val="en-US"/>
        </w:rPr>
        <w:t xml:space="preserve">D. M. </w:t>
      </w:r>
      <w:r w:rsidR="009C683C" w:rsidRPr="00F3553B">
        <w:fldChar w:fldCharType="begin" w:fldLock="1"/>
      </w:r>
      <w:r w:rsidR="009C683C" w:rsidRPr="00F3553B">
        <w:instrText xml:space="preserve">ADDIN Mendeley Bibliography CSL_BIBLIOGRAPHY </w:instrText>
      </w:r>
      <w:r w:rsidR="009C683C" w:rsidRPr="00F3553B">
        <w:fldChar w:fldCharType="separate"/>
      </w:r>
      <w:r w:rsidR="009C683C" w:rsidRPr="00F3553B">
        <w:t xml:space="preserve">Wingerchuk, et al., International </w:t>
      </w:r>
      <w:r w:rsidR="009F6A14" w:rsidRPr="00F3553B">
        <w:t xml:space="preserve">Consensus Diagnostic Criteria </w:t>
      </w:r>
      <w:r w:rsidR="00AE1BF1" w:rsidRPr="00F3553B">
        <w:rPr>
          <w:lang w:val="en-US"/>
        </w:rPr>
        <w:t>f</w:t>
      </w:r>
      <w:r w:rsidR="009F6A14" w:rsidRPr="00F3553B">
        <w:t xml:space="preserve">or Neuromyelitis Optica Spectrum Disorders, </w:t>
      </w:r>
      <w:r w:rsidR="009C683C" w:rsidRPr="00F3553B">
        <w:t xml:space="preserve">Neurology, </w:t>
      </w:r>
      <w:r w:rsidR="00E83AB5" w:rsidRPr="00F3553B">
        <w:rPr>
          <w:lang w:val="en-US"/>
        </w:rPr>
        <w:t>V</w:t>
      </w:r>
      <w:r w:rsidR="009C683C" w:rsidRPr="00F3553B">
        <w:t xml:space="preserve">ol. 85, </w:t>
      </w:r>
      <w:r w:rsidR="00E83AB5" w:rsidRPr="00F3553B">
        <w:rPr>
          <w:lang w:val="en-US"/>
        </w:rPr>
        <w:t>N</w:t>
      </w:r>
      <w:r w:rsidR="009C683C" w:rsidRPr="00F3553B">
        <w:t>o. 2,</w:t>
      </w:r>
      <w:r w:rsidR="00E83AB5" w:rsidRPr="00F3553B">
        <w:rPr>
          <w:lang w:val="en-US"/>
        </w:rPr>
        <w:t xml:space="preserve"> 2015,</w:t>
      </w:r>
      <w:r w:rsidR="009C683C" w:rsidRPr="00F3553B">
        <w:t xml:space="preserve"> pp. 177</w:t>
      </w:r>
      <w:r w:rsidR="00AA4EDA" w:rsidRPr="00F3553B">
        <w:rPr>
          <w:lang w:val="en-US"/>
        </w:rPr>
        <w:t>-</w:t>
      </w:r>
      <w:r w:rsidR="009C683C" w:rsidRPr="00F3553B">
        <w:t>189,</w:t>
      </w:r>
      <w:r w:rsidR="004E39BA">
        <w:tab/>
      </w:r>
      <w:r w:rsidR="009C683C" w:rsidRPr="00F3553B">
        <w:t xml:space="preserve"> </w:t>
      </w:r>
      <w:r w:rsidR="009F6A14" w:rsidRPr="00F3553B">
        <w:t>https://doi.org/10.1212/WNL.0000000000001729</w:t>
      </w:r>
      <w:r w:rsidR="009C683C" w:rsidRPr="00F3553B">
        <w:t>.</w:t>
      </w:r>
    </w:p>
    <w:p w14:paraId="19EB0567" w14:textId="02A531FB" w:rsidR="009C683C" w:rsidRPr="00F3553B" w:rsidRDefault="00AA1C8F" w:rsidP="00F3553B">
      <w:pPr>
        <w:pStyle w:val="thamkhao"/>
      </w:pPr>
      <w:r w:rsidRPr="00F3553B">
        <w:rPr>
          <w:lang w:val="en-US"/>
        </w:rPr>
        <w:t xml:space="preserve">L. </w:t>
      </w:r>
      <w:r w:rsidRPr="00F3553B">
        <w:t>Pandi</w:t>
      </w:r>
      <w:r w:rsidR="009C683C" w:rsidRPr="00F3553B">
        <w:t xml:space="preserve">, et al., Demographic </w:t>
      </w:r>
      <w:r w:rsidRPr="00F3553B">
        <w:rPr>
          <w:lang w:val="en-US"/>
        </w:rPr>
        <w:t>a</w:t>
      </w:r>
      <w:r w:rsidRPr="00F3553B">
        <w:t xml:space="preserve">nd Clinical Features </w:t>
      </w:r>
      <w:r w:rsidRPr="00F3553B">
        <w:rPr>
          <w:lang w:val="en-US"/>
        </w:rPr>
        <w:t>o</w:t>
      </w:r>
      <w:r w:rsidRPr="00F3553B">
        <w:t xml:space="preserve">f Neuromyelitis Optica : </w:t>
      </w:r>
      <w:r w:rsidR="009C683C" w:rsidRPr="00F3553B">
        <w:t xml:space="preserve">A </w:t>
      </w:r>
      <w:r w:rsidRPr="00F3553B">
        <w:t>Review</w:t>
      </w:r>
      <w:r w:rsidR="00A92D47">
        <w:t xml:space="preserve">, Multiple </w:t>
      </w:r>
      <w:r w:rsidR="00A92D47">
        <w:rPr>
          <w:lang w:val="en-US"/>
        </w:rPr>
        <w:t>S</w:t>
      </w:r>
      <w:r w:rsidR="009C683C" w:rsidRPr="00F3553B">
        <w:t xml:space="preserve">clerosis, </w:t>
      </w:r>
      <w:r w:rsidR="00452B21" w:rsidRPr="00F3553B">
        <w:rPr>
          <w:lang w:val="en-US"/>
        </w:rPr>
        <w:t>V</w:t>
      </w:r>
      <w:r w:rsidR="009C683C" w:rsidRPr="00F3553B">
        <w:t xml:space="preserve">ol. 21, </w:t>
      </w:r>
      <w:r w:rsidR="00452B21" w:rsidRPr="00F3553B">
        <w:rPr>
          <w:lang w:val="en-US"/>
        </w:rPr>
        <w:t>N</w:t>
      </w:r>
      <w:r w:rsidR="009C683C" w:rsidRPr="00F3553B">
        <w:t>o. 7,</w:t>
      </w:r>
      <w:r w:rsidR="00452B21" w:rsidRPr="00F3553B">
        <w:rPr>
          <w:lang w:val="en-US"/>
        </w:rPr>
        <w:t xml:space="preserve"> 2015,</w:t>
      </w:r>
      <w:r w:rsidR="009C683C" w:rsidRPr="00F3553B">
        <w:t xml:space="preserve"> pp. 845</w:t>
      </w:r>
      <w:r w:rsidR="00AA4EDA" w:rsidRPr="00F3553B">
        <w:rPr>
          <w:lang w:val="en-US"/>
        </w:rPr>
        <w:t>-</w:t>
      </w:r>
      <w:r w:rsidR="009C683C" w:rsidRPr="00F3553B">
        <w:t xml:space="preserve">853, </w:t>
      </w:r>
      <w:r w:rsidR="00452B21" w:rsidRPr="00F3553B">
        <w:t>https://doi.org/10.1177/1352458515572406</w:t>
      </w:r>
    </w:p>
    <w:p w14:paraId="683AEE0C" w14:textId="7FC2A080" w:rsidR="009C683C" w:rsidRPr="00F3553B" w:rsidRDefault="009C683C" w:rsidP="00F3553B">
      <w:pPr>
        <w:pStyle w:val="thamkhao"/>
      </w:pPr>
      <w:r w:rsidRPr="00F3553B">
        <w:t xml:space="preserve">N. </w:t>
      </w:r>
      <w:r w:rsidR="00452B21" w:rsidRPr="00F3553B">
        <w:rPr>
          <w:lang w:val="en-US"/>
        </w:rPr>
        <w:t>V.</w:t>
      </w:r>
      <w:r w:rsidRPr="00F3553B">
        <w:t xml:space="preserve"> Tu</w:t>
      </w:r>
      <w:r w:rsidR="00452B21" w:rsidRPr="00F3553B">
        <w:rPr>
          <w:lang w:val="en-US"/>
        </w:rPr>
        <w:t>a</w:t>
      </w:r>
      <w:r w:rsidRPr="00F3553B">
        <w:t>n and N. V</w:t>
      </w:r>
      <w:r w:rsidR="00452B21" w:rsidRPr="00F3553B">
        <w:rPr>
          <w:lang w:val="en-US"/>
        </w:rPr>
        <w:t xml:space="preserve">. </w:t>
      </w:r>
      <w:r w:rsidRPr="00F3553B">
        <w:t>S</w:t>
      </w:r>
      <w:r w:rsidR="00452B21" w:rsidRPr="00F3553B">
        <w:rPr>
          <w:lang w:val="en-US"/>
        </w:rPr>
        <w:t>y</w:t>
      </w:r>
      <w:r w:rsidRPr="00F3553B">
        <w:t xml:space="preserve">, </w:t>
      </w:r>
      <w:r w:rsidR="006572C7" w:rsidRPr="00F3553B">
        <w:t>Clinical Features</w:t>
      </w:r>
      <w:r w:rsidR="006572C7" w:rsidRPr="00F3553B">
        <w:rPr>
          <w:lang w:val="en-US"/>
        </w:rPr>
        <w:t xml:space="preserve"> </w:t>
      </w:r>
      <w:r w:rsidR="006572C7" w:rsidRPr="00F3553B">
        <w:t>of The Neuromyelitis Optica Spectrum Disorder</w:t>
      </w:r>
      <w:r w:rsidRPr="00F3553B">
        <w:t xml:space="preserve">, Vietnam Medical Journal, </w:t>
      </w:r>
      <w:r w:rsidR="006572C7" w:rsidRPr="00F3553B">
        <w:rPr>
          <w:lang w:val="en-US"/>
        </w:rPr>
        <w:t>V</w:t>
      </w:r>
      <w:r w:rsidRPr="00F3553B">
        <w:t xml:space="preserve">ol. 520, </w:t>
      </w:r>
      <w:r w:rsidR="006572C7" w:rsidRPr="00F3553B">
        <w:rPr>
          <w:lang w:val="en-US"/>
        </w:rPr>
        <w:t>N</w:t>
      </w:r>
      <w:r w:rsidRPr="00F3553B">
        <w:t>o. 1A,</w:t>
      </w:r>
      <w:r w:rsidR="006572C7" w:rsidRPr="00F3553B">
        <w:rPr>
          <w:lang w:val="en-US"/>
        </w:rPr>
        <w:t xml:space="preserve"> 2022,</w:t>
      </w:r>
      <w:r w:rsidRPr="00F3553B">
        <w:t xml:space="preserve"> pp. 1</w:t>
      </w:r>
      <w:r w:rsidR="00AA4EDA" w:rsidRPr="00F3553B">
        <w:rPr>
          <w:lang w:val="en-US"/>
        </w:rPr>
        <w:t>-</w:t>
      </w:r>
      <w:r w:rsidRPr="00F3553B">
        <w:t xml:space="preserve">6, </w:t>
      </w:r>
      <w:r w:rsidR="006572C7" w:rsidRPr="00F3553B">
        <w:t>https://doi.org/10.51298/vmj.v520i1.3778</w:t>
      </w:r>
      <w:r w:rsidR="00E43266" w:rsidRPr="00F3553B">
        <w:rPr>
          <w:lang w:val="en-US"/>
        </w:rPr>
        <w:t xml:space="preserve"> </w:t>
      </w:r>
      <w:r w:rsidR="00E43266" w:rsidRPr="00F3553B">
        <w:rPr>
          <w:rFonts w:eastAsia="Verdana"/>
          <w:spacing w:val="-4"/>
          <w:szCs w:val="28"/>
        </w:rPr>
        <w:t>(in Vietnamese).</w:t>
      </w:r>
    </w:p>
    <w:p w14:paraId="37CB33F4" w14:textId="5CF7DBA7" w:rsidR="009C683C" w:rsidRPr="00F3553B" w:rsidRDefault="009C683C" w:rsidP="00F3553B">
      <w:pPr>
        <w:pStyle w:val="thamkhao"/>
      </w:pPr>
      <w:r w:rsidRPr="00F3553B">
        <w:t>V. V</w:t>
      </w:r>
      <w:r w:rsidR="00E43266" w:rsidRPr="00F3553B">
        <w:t>.</w:t>
      </w:r>
      <w:r w:rsidRPr="00F3553B">
        <w:t xml:space="preserve"> Kh</w:t>
      </w:r>
      <w:r w:rsidR="00E43266" w:rsidRPr="00F3553B">
        <w:t>o</w:t>
      </w:r>
      <w:r w:rsidRPr="00F3553B">
        <w:t>i and N. V</w:t>
      </w:r>
      <w:r w:rsidR="00E43266" w:rsidRPr="00F3553B">
        <w:t>.</w:t>
      </w:r>
      <w:r w:rsidRPr="00F3553B">
        <w:t xml:space="preserve"> Tu</w:t>
      </w:r>
      <w:r w:rsidR="00E43266" w:rsidRPr="00F3553B">
        <w:t>a</w:t>
      </w:r>
      <w:r w:rsidRPr="00F3553B">
        <w:t>n,</w:t>
      </w:r>
      <w:r w:rsidR="00DF7CCB" w:rsidRPr="00F3553B">
        <w:t xml:space="preserve"> Some Prognostic Factors </w:t>
      </w:r>
      <w:r w:rsidR="00DF7CCB" w:rsidRPr="00F3553B">
        <w:rPr>
          <w:lang w:val="en-US"/>
        </w:rPr>
        <w:t>o</w:t>
      </w:r>
      <w:r w:rsidR="00DF7CCB" w:rsidRPr="00F3553B">
        <w:t>f Neuromyelitis Optica Spectrumdisorders (N</w:t>
      </w:r>
      <w:r w:rsidR="00DF7CCB" w:rsidRPr="00F3553B">
        <w:rPr>
          <w:lang w:val="en-US"/>
        </w:rPr>
        <w:t>MOSD</w:t>
      </w:r>
      <w:r w:rsidR="00DF7CCB" w:rsidRPr="00F3553B">
        <w:t>)</w:t>
      </w:r>
      <w:r w:rsidRPr="00F3553B">
        <w:t xml:space="preserve">, </w:t>
      </w:r>
      <w:r w:rsidRPr="00F3553B">
        <w:rPr>
          <w:iCs/>
        </w:rPr>
        <w:t>Vietnam Medical Journal</w:t>
      </w:r>
      <w:r w:rsidRPr="00F3553B">
        <w:t xml:space="preserve">, </w:t>
      </w:r>
      <w:r w:rsidR="00DF7CCB" w:rsidRPr="00F3553B">
        <w:t>V</w:t>
      </w:r>
      <w:r w:rsidRPr="00F3553B">
        <w:t>ol. 521,</w:t>
      </w:r>
      <w:r w:rsidR="00DF7CCB" w:rsidRPr="00F3553B">
        <w:rPr>
          <w:lang w:val="en-US"/>
        </w:rPr>
        <w:t xml:space="preserve"> </w:t>
      </w:r>
      <w:r w:rsidR="00DF7CCB" w:rsidRPr="00F3553B">
        <w:t>N</w:t>
      </w:r>
      <w:r w:rsidRPr="00F3553B">
        <w:t xml:space="preserve">o. 2, </w:t>
      </w:r>
      <w:r w:rsidR="00DF7CCB" w:rsidRPr="00F3553B">
        <w:t xml:space="preserve">2022, </w:t>
      </w:r>
      <w:r w:rsidRPr="00F3553B">
        <w:t>pp. 2</w:t>
      </w:r>
      <w:r w:rsidR="00AA4EDA" w:rsidRPr="00F3553B">
        <w:rPr>
          <w:lang w:val="en-US"/>
        </w:rPr>
        <w:t>-</w:t>
      </w:r>
      <w:r w:rsidRPr="00F3553B">
        <w:t>7,</w:t>
      </w:r>
      <w:r w:rsidR="00DF7CCB" w:rsidRPr="00F3553B">
        <w:rPr>
          <w:lang w:val="en-US"/>
        </w:rPr>
        <w:t xml:space="preserve"> </w:t>
      </w:r>
      <w:r w:rsidR="00DF7CCB" w:rsidRPr="00F3553B">
        <w:t xml:space="preserve"> https://doi.org/10.51298/vmj.v521i2.4068</w:t>
      </w:r>
      <w:r w:rsidR="00DF7CCB" w:rsidRPr="00F3553B">
        <w:rPr>
          <w:lang w:val="en-US"/>
        </w:rPr>
        <w:t xml:space="preserve"> </w:t>
      </w:r>
      <w:r w:rsidR="00DF7CCB" w:rsidRPr="00F3553B">
        <w:rPr>
          <w:rFonts w:eastAsia="Verdana"/>
          <w:spacing w:val="-4"/>
          <w:szCs w:val="28"/>
        </w:rPr>
        <w:t>(in Vietnamese).</w:t>
      </w:r>
    </w:p>
    <w:p w14:paraId="0994D935" w14:textId="2D6B2106" w:rsidR="009C683C" w:rsidRPr="00F3553B" w:rsidRDefault="003831B2" w:rsidP="00F3553B">
      <w:pPr>
        <w:pStyle w:val="thamkhao"/>
      </w:pPr>
      <w:r w:rsidRPr="00F3553B">
        <w:rPr>
          <w:lang w:val="en-US"/>
        </w:rPr>
        <w:t xml:space="preserve">Y. </w:t>
      </w:r>
      <w:r w:rsidR="009C683C" w:rsidRPr="00F3553B">
        <w:t>Jiao</w:t>
      </w:r>
      <w:r w:rsidRPr="00F3553B">
        <w:rPr>
          <w:lang w:val="en-US"/>
        </w:rPr>
        <w:t xml:space="preserve">, </w:t>
      </w:r>
      <w:r w:rsidR="00FD44A3" w:rsidRPr="008B6C34">
        <w:rPr>
          <w:color w:val="1B1B1B"/>
          <w:shd w:val="clear" w:color="auto" w:fill="FFFFFF"/>
        </w:rPr>
        <w:t>Z. Yan, A. Yang</w:t>
      </w:r>
      <w:r w:rsidR="009C683C" w:rsidRPr="00F3553B">
        <w:t>,</w:t>
      </w:r>
      <w:r w:rsidRPr="00F3553B">
        <w:t xml:space="preserve"> </w:t>
      </w:r>
      <w:r w:rsidR="009C683C" w:rsidRPr="00F3553B">
        <w:t xml:space="preserve">Mitochondria </w:t>
      </w:r>
      <w:r w:rsidR="009E5621" w:rsidRPr="00F3553B">
        <w:rPr>
          <w:lang w:val="en-US"/>
        </w:rPr>
        <w:t>i</w:t>
      </w:r>
      <w:r w:rsidRPr="00F3553B">
        <w:t xml:space="preserve">n Innate Immunity Signaling </w:t>
      </w:r>
      <w:r w:rsidR="009E5621" w:rsidRPr="00F3553B">
        <w:rPr>
          <w:lang w:val="en-US"/>
        </w:rPr>
        <w:t>a</w:t>
      </w:r>
      <w:r w:rsidRPr="00F3553B">
        <w:t xml:space="preserve">nd Its Therapeutic Implications </w:t>
      </w:r>
      <w:r w:rsidR="009E5621" w:rsidRPr="00F3553B">
        <w:rPr>
          <w:lang w:val="en-US"/>
        </w:rPr>
        <w:t>i</w:t>
      </w:r>
      <w:r w:rsidRPr="00F3553B">
        <w:t>n Autoimmune Diseases</w:t>
      </w:r>
      <w:r w:rsidR="009C683C" w:rsidRPr="00F3553B">
        <w:t xml:space="preserve">, </w:t>
      </w:r>
      <w:r w:rsidR="009C683C" w:rsidRPr="00F3553B">
        <w:rPr>
          <w:iCs/>
        </w:rPr>
        <w:t>Frontiers in Immunology</w:t>
      </w:r>
      <w:r w:rsidR="009E5621" w:rsidRPr="00F3553B">
        <w:rPr>
          <w:iCs/>
          <w:lang w:val="en-US"/>
        </w:rPr>
        <w:t>,</w:t>
      </w:r>
      <w:r w:rsidR="009C683C" w:rsidRPr="00F3553B">
        <w:t xml:space="preserve"> </w:t>
      </w:r>
      <w:r w:rsidR="009E5621" w:rsidRPr="00F3553B">
        <w:rPr>
          <w:lang w:val="en-US"/>
        </w:rPr>
        <w:t>V</w:t>
      </w:r>
      <w:r w:rsidR="009C683C" w:rsidRPr="00F3553B">
        <w:t xml:space="preserve">ol. 14, </w:t>
      </w:r>
      <w:r w:rsidR="009E5621" w:rsidRPr="00F3553B">
        <w:rPr>
          <w:lang w:val="en-US"/>
        </w:rPr>
        <w:t>N</w:t>
      </w:r>
      <w:r w:rsidR="009C683C" w:rsidRPr="00F3553B">
        <w:t xml:space="preserve">o. April, </w:t>
      </w:r>
      <w:r w:rsidR="009E5621" w:rsidRPr="00F3553B">
        <w:rPr>
          <w:lang w:val="en-US"/>
        </w:rPr>
        <w:t xml:space="preserve">2023, </w:t>
      </w:r>
      <w:r w:rsidR="009C683C" w:rsidRPr="00F3553B">
        <w:t>pp. 1</w:t>
      </w:r>
      <w:r w:rsidR="00AA4EDA" w:rsidRPr="00F3553B">
        <w:rPr>
          <w:lang w:val="en-US"/>
        </w:rPr>
        <w:t>-</w:t>
      </w:r>
      <w:r w:rsidR="009C683C" w:rsidRPr="00F3553B">
        <w:t xml:space="preserve">14, </w:t>
      </w:r>
      <w:r w:rsidR="009E5621" w:rsidRPr="00F3553B">
        <w:t>https://doi.org/10.3389/fimmu.2023.1160035</w:t>
      </w:r>
      <w:r w:rsidR="009E5621" w:rsidRPr="00F3553B">
        <w:rPr>
          <w:lang w:val="en-US"/>
        </w:rPr>
        <w:t>.</w:t>
      </w:r>
    </w:p>
    <w:p w14:paraId="2E5D7742" w14:textId="713D49D4" w:rsidR="009C683C" w:rsidRPr="00F3553B" w:rsidRDefault="009E5621" w:rsidP="00F3553B">
      <w:pPr>
        <w:pStyle w:val="thamkhao"/>
      </w:pPr>
      <w:r w:rsidRPr="00F3553B">
        <w:rPr>
          <w:lang w:val="en-US"/>
        </w:rPr>
        <w:t xml:space="preserve">K. </w:t>
      </w:r>
      <w:r w:rsidR="009C683C" w:rsidRPr="00F3553B">
        <w:t>Yamashita</w:t>
      </w:r>
      <w:r w:rsidR="00FD44A3">
        <w:rPr>
          <w:lang w:val="en-US"/>
        </w:rPr>
        <w:t xml:space="preserve">, </w:t>
      </w:r>
      <w:r w:rsidR="009C683C" w:rsidRPr="00F3553B">
        <w:t xml:space="preserve">et al., Cerebrospinal </w:t>
      </w:r>
      <w:r w:rsidR="00B54C38" w:rsidRPr="00F3553B">
        <w:t xml:space="preserve">Fluid Mitochondrial </w:t>
      </w:r>
      <w:r w:rsidR="009C683C" w:rsidRPr="00F3553B">
        <w:t xml:space="preserve">DNA </w:t>
      </w:r>
      <w:r w:rsidR="00B54C38" w:rsidRPr="00F3553B">
        <w:rPr>
          <w:lang w:val="en-US"/>
        </w:rPr>
        <w:t>i</w:t>
      </w:r>
      <w:r w:rsidR="00B54C38" w:rsidRPr="00F3553B">
        <w:t>n Neuromyelitis Optica Spectrum Disorder</w:t>
      </w:r>
      <w:r w:rsidR="009C683C" w:rsidRPr="00F3553B">
        <w:t xml:space="preserve">, </w:t>
      </w:r>
      <w:r w:rsidR="009C683C" w:rsidRPr="00F3553B">
        <w:rPr>
          <w:iCs/>
        </w:rPr>
        <w:t>Journal of Neuroinflammation</w:t>
      </w:r>
      <w:r w:rsidR="00B54C38" w:rsidRPr="00F3553B">
        <w:rPr>
          <w:iCs/>
          <w:lang w:val="en-US"/>
        </w:rPr>
        <w:t>,</w:t>
      </w:r>
      <w:r w:rsidR="009C683C" w:rsidRPr="00F3553B">
        <w:t xml:space="preserve"> </w:t>
      </w:r>
      <w:r w:rsidR="00B54C38" w:rsidRPr="00F3553B">
        <w:rPr>
          <w:lang w:val="en-US"/>
        </w:rPr>
        <w:t>V</w:t>
      </w:r>
      <w:r w:rsidR="009C683C" w:rsidRPr="00F3553B">
        <w:t xml:space="preserve">ol. 15, </w:t>
      </w:r>
      <w:r w:rsidR="00B54C38" w:rsidRPr="00F3553B">
        <w:rPr>
          <w:lang w:val="en-US"/>
        </w:rPr>
        <w:t>N</w:t>
      </w:r>
      <w:r w:rsidR="009C683C" w:rsidRPr="00F3553B">
        <w:t>o. 1,</w:t>
      </w:r>
      <w:r w:rsidR="00B54C38" w:rsidRPr="00F3553B">
        <w:rPr>
          <w:lang w:val="en-US"/>
        </w:rPr>
        <w:t xml:space="preserve"> 2018,</w:t>
      </w:r>
      <w:r w:rsidR="009C683C" w:rsidRPr="00F3553B">
        <w:t xml:space="preserve"> pp. 1</w:t>
      </w:r>
      <w:r w:rsidR="00AA4EDA" w:rsidRPr="00F3553B">
        <w:rPr>
          <w:lang w:val="en-US"/>
        </w:rPr>
        <w:t>-</w:t>
      </w:r>
      <w:r w:rsidR="009C683C" w:rsidRPr="00F3553B">
        <w:t>9,</w:t>
      </w:r>
      <w:r w:rsidR="004E39BA">
        <w:tab/>
      </w:r>
      <w:r w:rsidR="009C683C" w:rsidRPr="00F3553B">
        <w:t xml:space="preserve"> </w:t>
      </w:r>
      <w:r w:rsidR="00B54C38" w:rsidRPr="00F3553B">
        <w:t>https://doi.org/10.1186/s12974-018-1162-0</w:t>
      </w:r>
      <w:r w:rsidR="00B54C38" w:rsidRPr="00F3553B">
        <w:rPr>
          <w:lang w:val="en-US"/>
        </w:rPr>
        <w:t>.</w:t>
      </w:r>
    </w:p>
    <w:p w14:paraId="52B4F0DF" w14:textId="13024EA2" w:rsidR="009C683C" w:rsidRPr="00F3553B" w:rsidRDefault="00814E8B" w:rsidP="00F3553B">
      <w:pPr>
        <w:pStyle w:val="thamkhao"/>
      </w:pPr>
      <w:r w:rsidRPr="00F3553B">
        <w:rPr>
          <w:lang w:val="en-US"/>
        </w:rPr>
        <w:t xml:space="preserve">M. </w:t>
      </w:r>
      <w:r w:rsidRPr="00F3553B">
        <w:t>Shimizu</w:t>
      </w:r>
      <w:r w:rsidR="009C683C" w:rsidRPr="00F3553B">
        <w:t xml:space="preserve">, et al., Mitochondrial DNA </w:t>
      </w:r>
      <w:r w:rsidR="0072770C" w:rsidRPr="00F3553B">
        <w:t xml:space="preserve">Enhance Innate Immune Responses </w:t>
      </w:r>
      <w:r w:rsidR="0072770C" w:rsidRPr="00F3553B">
        <w:rPr>
          <w:lang w:val="en-US"/>
        </w:rPr>
        <w:t>i</w:t>
      </w:r>
      <w:r w:rsidR="0072770C" w:rsidRPr="00F3553B">
        <w:t xml:space="preserve">n Neuromyelitis Optica </w:t>
      </w:r>
      <w:r w:rsidR="0072770C" w:rsidRPr="00F3553B">
        <w:rPr>
          <w:lang w:val="en-US"/>
        </w:rPr>
        <w:t>b</w:t>
      </w:r>
      <w:r w:rsidR="0072770C" w:rsidRPr="00F3553B">
        <w:t xml:space="preserve">y Monocyte Recruitment </w:t>
      </w:r>
      <w:r w:rsidR="0072770C" w:rsidRPr="00F3553B">
        <w:rPr>
          <w:lang w:val="en-US"/>
        </w:rPr>
        <w:t>a</w:t>
      </w:r>
      <w:r w:rsidR="0072770C" w:rsidRPr="00F3553B">
        <w:t xml:space="preserve">nd Activation, </w:t>
      </w:r>
      <w:r w:rsidR="009C683C" w:rsidRPr="00F3553B">
        <w:rPr>
          <w:iCs/>
        </w:rPr>
        <w:t xml:space="preserve">Scientific </w:t>
      </w:r>
      <w:r w:rsidR="0072770C" w:rsidRPr="00F3553B">
        <w:rPr>
          <w:iCs/>
        </w:rPr>
        <w:t>Reports</w:t>
      </w:r>
      <w:r w:rsidR="009C683C" w:rsidRPr="00F3553B">
        <w:t xml:space="preserve">, </w:t>
      </w:r>
      <w:r w:rsidRPr="00F3553B">
        <w:rPr>
          <w:lang w:val="en-US"/>
        </w:rPr>
        <w:t>V</w:t>
      </w:r>
      <w:r w:rsidR="009C683C" w:rsidRPr="00F3553B">
        <w:t xml:space="preserve">ol. 10, </w:t>
      </w:r>
      <w:r w:rsidRPr="00F3553B">
        <w:rPr>
          <w:lang w:val="en-US"/>
        </w:rPr>
        <w:t>N</w:t>
      </w:r>
      <w:r w:rsidR="009C683C" w:rsidRPr="00F3553B">
        <w:t>o. 1</w:t>
      </w:r>
      <w:r w:rsidRPr="00F3553B">
        <w:rPr>
          <w:lang w:val="en-US"/>
        </w:rPr>
        <w:t>, 2020</w:t>
      </w:r>
      <w:r w:rsidR="009C683C" w:rsidRPr="00F3553B">
        <w:t>, pp. 1</w:t>
      </w:r>
      <w:r w:rsidR="00AA4EDA" w:rsidRPr="00F3553B">
        <w:rPr>
          <w:lang w:val="en-US"/>
        </w:rPr>
        <w:t>-</w:t>
      </w:r>
      <w:r w:rsidR="009C683C" w:rsidRPr="00F3553B">
        <w:t xml:space="preserve">12, </w:t>
      </w:r>
      <w:r w:rsidRPr="00F3553B">
        <w:t>https://doi.org/10.1038/s41598-020-70203-x</w:t>
      </w:r>
      <w:r w:rsidRPr="00F3553B">
        <w:rPr>
          <w:lang w:val="en-US"/>
        </w:rPr>
        <w:t>.</w:t>
      </w:r>
    </w:p>
    <w:p w14:paraId="0289894F" w14:textId="3BBB7CB7" w:rsidR="009C683C" w:rsidRPr="00F3553B" w:rsidRDefault="0072770C" w:rsidP="00F3553B">
      <w:pPr>
        <w:pStyle w:val="thamkhao"/>
      </w:pPr>
      <w:r w:rsidRPr="00F3553B">
        <w:rPr>
          <w:lang w:val="en-US"/>
        </w:rPr>
        <w:t xml:space="preserve">L. </w:t>
      </w:r>
      <w:r w:rsidR="009C683C" w:rsidRPr="00F3553B">
        <w:t xml:space="preserve">He, et al., Detection </w:t>
      </w:r>
      <w:r w:rsidRPr="00F3553B">
        <w:rPr>
          <w:lang w:val="en-US"/>
        </w:rPr>
        <w:t>a</w:t>
      </w:r>
      <w:r w:rsidRPr="00F3553B">
        <w:t xml:space="preserve">nd Quantification </w:t>
      </w:r>
      <w:r w:rsidRPr="00F3553B">
        <w:rPr>
          <w:lang w:val="en-US"/>
        </w:rPr>
        <w:t>o</w:t>
      </w:r>
      <w:r w:rsidRPr="00F3553B">
        <w:t xml:space="preserve">f Mitochondrial </w:t>
      </w:r>
      <w:r w:rsidR="009C683C" w:rsidRPr="00F3553B">
        <w:t xml:space="preserve">DNA </w:t>
      </w:r>
      <w:r w:rsidRPr="00F3553B">
        <w:t xml:space="preserve">Deletions </w:t>
      </w:r>
      <w:r w:rsidRPr="00F3553B">
        <w:rPr>
          <w:lang w:val="en-US"/>
        </w:rPr>
        <w:t>i</w:t>
      </w:r>
      <w:r w:rsidRPr="00F3553B">
        <w:t xml:space="preserve">n Individual Cells </w:t>
      </w:r>
      <w:r w:rsidR="00235C5C" w:rsidRPr="00F3553B">
        <w:rPr>
          <w:lang w:val="en-US"/>
        </w:rPr>
        <w:t>b</w:t>
      </w:r>
      <w:r w:rsidRPr="00F3553B">
        <w:t xml:space="preserve">y Real-Time </w:t>
      </w:r>
      <w:r w:rsidR="009C683C" w:rsidRPr="00F3553B">
        <w:t xml:space="preserve">PCR, </w:t>
      </w:r>
      <w:r w:rsidR="009C683C" w:rsidRPr="00F3553B">
        <w:rPr>
          <w:iCs/>
        </w:rPr>
        <w:t>Nucleic acids research</w:t>
      </w:r>
      <w:r w:rsidR="009C683C" w:rsidRPr="00F3553B">
        <w:t xml:space="preserve">, </w:t>
      </w:r>
      <w:r w:rsidR="004E39BA">
        <w:br/>
      </w:r>
      <w:r w:rsidR="00235C5C" w:rsidRPr="00F3553B">
        <w:rPr>
          <w:lang w:val="en-US"/>
        </w:rPr>
        <w:t>V</w:t>
      </w:r>
      <w:r w:rsidR="009C683C" w:rsidRPr="00F3553B">
        <w:t xml:space="preserve">ol. 30, </w:t>
      </w:r>
      <w:r w:rsidR="00235C5C" w:rsidRPr="00F3553B">
        <w:rPr>
          <w:lang w:val="en-US"/>
        </w:rPr>
        <w:t>N</w:t>
      </w:r>
      <w:r w:rsidR="009C683C" w:rsidRPr="00F3553B">
        <w:t>o. 14</w:t>
      </w:r>
      <w:r w:rsidR="00E031B3" w:rsidRPr="00F3553B">
        <w:rPr>
          <w:lang w:val="en-US"/>
        </w:rPr>
        <w:t>, 2002</w:t>
      </w:r>
      <w:r w:rsidR="009C683C" w:rsidRPr="00F3553B">
        <w:t xml:space="preserve">, </w:t>
      </w:r>
      <w:r w:rsidR="00E031B3" w:rsidRPr="00F3553B">
        <w:rPr>
          <w:lang w:val="en-US"/>
        </w:rPr>
        <w:t>pp. e68,</w:t>
      </w:r>
      <w:r w:rsidR="004E39BA">
        <w:rPr>
          <w:lang w:val="en-US"/>
        </w:rPr>
        <w:tab/>
      </w:r>
      <w:r w:rsidR="00E031B3" w:rsidRPr="00F3553B">
        <w:rPr>
          <w:lang w:val="en-US"/>
        </w:rPr>
        <w:t xml:space="preserve"> </w:t>
      </w:r>
      <w:r w:rsidR="00E031B3" w:rsidRPr="00F3553B">
        <w:t>https://doi.org/10.1093/nar/gnf067</w:t>
      </w:r>
      <w:r w:rsidR="009C683C" w:rsidRPr="00F3553B">
        <w:t>.</w:t>
      </w:r>
    </w:p>
    <w:p w14:paraId="71655D8F" w14:textId="40A1ED53" w:rsidR="009C683C" w:rsidRPr="00F3553B" w:rsidRDefault="00E031B3" w:rsidP="00F3553B">
      <w:pPr>
        <w:pStyle w:val="thamkhao"/>
      </w:pPr>
      <w:r w:rsidRPr="00F3553B">
        <w:rPr>
          <w:lang w:val="en-US"/>
        </w:rPr>
        <w:t xml:space="preserve">L. </w:t>
      </w:r>
      <w:r w:rsidR="009C683C" w:rsidRPr="00F3553B">
        <w:t xml:space="preserve">Hu, </w:t>
      </w:r>
      <w:r w:rsidR="00562D81" w:rsidRPr="00F3553B">
        <w:rPr>
          <w:lang w:val="en-US"/>
        </w:rPr>
        <w:t xml:space="preserve">X. </w:t>
      </w:r>
      <w:r w:rsidR="009C683C" w:rsidRPr="00F3553B">
        <w:t xml:space="preserve">Yao, </w:t>
      </w:r>
      <w:r w:rsidR="00562D81" w:rsidRPr="00F3553B">
        <w:rPr>
          <w:lang w:val="en-US"/>
        </w:rPr>
        <w:t xml:space="preserve">Y. </w:t>
      </w:r>
      <w:r w:rsidR="009C683C" w:rsidRPr="00F3553B">
        <w:t xml:space="preserve">Shen, Altered </w:t>
      </w:r>
      <w:r w:rsidR="00562D81" w:rsidRPr="00F3553B">
        <w:t xml:space="preserve">Mitochondrial </w:t>
      </w:r>
      <w:r w:rsidR="009C683C" w:rsidRPr="00F3553B">
        <w:t xml:space="preserve">DNA </w:t>
      </w:r>
      <w:r w:rsidR="00562D81" w:rsidRPr="00F3553B">
        <w:t xml:space="preserve">Copy Number Contributes </w:t>
      </w:r>
      <w:r w:rsidR="00562D81" w:rsidRPr="00F3553B">
        <w:rPr>
          <w:lang w:val="en-US"/>
        </w:rPr>
        <w:t>t</w:t>
      </w:r>
      <w:r w:rsidR="00562D81" w:rsidRPr="00F3553B">
        <w:t xml:space="preserve">o Human Cancer Risk: </w:t>
      </w:r>
      <w:r w:rsidR="009C683C" w:rsidRPr="00F3553B">
        <w:t xml:space="preserve">Evidence </w:t>
      </w:r>
      <w:r w:rsidR="00562D81" w:rsidRPr="00F3553B">
        <w:rPr>
          <w:lang w:val="en-US"/>
        </w:rPr>
        <w:t>f</w:t>
      </w:r>
      <w:r w:rsidR="00562D81" w:rsidRPr="00F3553B">
        <w:t>rom An Updated Meta-Analysis</w:t>
      </w:r>
      <w:r w:rsidR="009C683C" w:rsidRPr="00F3553B">
        <w:t xml:space="preserve">, </w:t>
      </w:r>
      <w:r w:rsidR="009C683C" w:rsidRPr="00F3553B">
        <w:rPr>
          <w:iCs/>
        </w:rPr>
        <w:t>Scientific reports</w:t>
      </w:r>
      <w:r w:rsidR="009C683C" w:rsidRPr="00F3553B">
        <w:t xml:space="preserve">, </w:t>
      </w:r>
      <w:r w:rsidR="00562D81" w:rsidRPr="00F3553B">
        <w:rPr>
          <w:lang w:val="en-US"/>
        </w:rPr>
        <w:t>V</w:t>
      </w:r>
      <w:r w:rsidR="009C683C" w:rsidRPr="00F3553B">
        <w:t xml:space="preserve">ol. 6, </w:t>
      </w:r>
      <w:r w:rsidR="00562D81" w:rsidRPr="00F3553B">
        <w:rPr>
          <w:lang w:val="en-US"/>
        </w:rPr>
        <w:t>N</w:t>
      </w:r>
      <w:r w:rsidR="009C683C" w:rsidRPr="00F3553B">
        <w:t xml:space="preserve">o. April, </w:t>
      </w:r>
      <w:r w:rsidR="00562D81" w:rsidRPr="00F3553B">
        <w:rPr>
          <w:lang w:val="en-US"/>
        </w:rPr>
        <w:t xml:space="preserve">2016, </w:t>
      </w:r>
      <w:r w:rsidR="004E39BA">
        <w:rPr>
          <w:lang w:val="en-US"/>
        </w:rPr>
        <w:br/>
      </w:r>
      <w:r w:rsidR="009C683C" w:rsidRPr="00F3553B">
        <w:t>pp. 1</w:t>
      </w:r>
      <w:r w:rsidR="00AA4EDA" w:rsidRPr="00F3553B">
        <w:rPr>
          <w:lang w:val="en-US"/>
        </w:rPr>
        <w:t>-</w:t>
      </w:r>
      <w:r w:rsidR="009C683C" w:rsidRPr="00F3553B">
        <w:t xml:space="preserve">11, </w:t>
      </w:r>
      <w:r w:rsidR="00562D81" w:rsidRPr="00F3553B">
        <w:t>https://doi.org/10.1038/srep35859</w:t>
      </w:r>
      <w:r w:rsidR="009C683C" w:rsidRPr="00F3553B">
        <w:t>.</w:t>
      </w:r>
    </w:p>
    <w:p w14:paraId="58C32A31" w14:textId="64F9E4FB" w:rsidR="009C683C" w:rsidRPr="00F3553B" w:rsidRDefault="00562D81" w:rsidP="00F3553B">
      <w:pPr>
        <w:pStyle w:val="thamkhao"/>
      </w:pPr>
      <w:r w:rsidRPr="00F3553B">
        <w:rPr>
          <w:lang w:val="en-US"/>
        </w:rPr>
        <w:lastRenderedPageBreak/>
        <w:t xml:space="preserve">A. X. </w:t>
      </w:r>
      <w:r w:rsidR="009C683C" w:rsidRPr="00F3553B">
        <w:t>Fan</w:t>
      </w:r>
      <w:r w:rsidRPr="00F3553B">
        <w:rPr>
          <w:lang w:val="en-US"/>
        </w:rPr>
        <w:t xml:space="preserve">, </w:t>
      </w:r>
      <w:r w:rsidR="009C683C" w:rsidRPr="00F3553B">
        <w:t xml:space="preserve">et al., Mitochondrial DNA </w:t>
      </w:r>
      <w:r w:rsidR="00B824EE" w:rsidRPr="00F3553B">
        <w:t xml:space="preserve">Content </w:t>
      </w:r>
      <w:r w:rsidR="00B824EE" w:rsidRPr="00F3553B">
        <w:rPr>
          <w:lang w:val="en-US"/>
        </w:rPr>
        <w:t>i</w:t>
      </w:r>
      <w:r w:rsidR="00B824EE" w:rsidRPr="00F3553B">
        <w:t xml:space="preserve">n Paired Normal </w:t>
      </w:r>
      <w:r w:rsidR="00B824EE" w:rsidRPr="00F3553B">
        <w:rPr>
          <w:lang w:val="en-US"/>
        </w:rPr>
        <w:t>a</w:t>
      </w:r>
      <w:r w:rsidR="00B824EE" w:rsidRPr="00F3553B">
        <w:t xml:space="preserve">nd Cancerous Breast Tissue Samples </w:t>
      </w:r>
      <w:r w:rsidR="00B824EE" w:rsidRPr="00F3553B">
        <w:rPr>
          <w:lang w:val="en-US"/>
        </w:rPr>
        <w:t>f</w:t>
      </w:r>
      <w:r w:rsidR="00B824EE" w:rsidRPr="00F3553B">
        <w:t>rom Patients With Breast Cancer</w:t>
      </w:r>
      <w:r w:rsidR="009C683C" w:rsidRPr="00F3553B">
        <w:t xml:space="preserve">, </w:t>
      </w:r>
      <w:r w:rsidR="009C683C" w:rsidRPr="00F3553B">
        <w:rPr>
          <w:iCs/>
        </w:rPr>
        <w:t xml:space="preserve">Journal of </w:t>
      </w:r>
      <w:r w:rsidR="005B2074" w:rsidRPr="00F3553B">
        <w:rPr>
          <w:iCs/>
          <w:lang w:val="en-US"/>
        </w:rPr>
        <w:t>C</w:t>
      </w:r>
      <w:r w:rsidR="009C683C" w:rsidRPr="00F3553B">
        <w:rPr>
          <w:iCs/>
        </w:rPr>
        <w:t xml:space="preserve">ancer </w:t>
      </w:r>
      <w:r w:rsidR="005B2074" w:rsidRPr="00F3553B">
        <w:rPr>
          <w:iCs/>
          <w:lang w:val="en-US"/>
        </w:rPr>
        <w:t>R</w:t>
      </w:r>
      <w:r w:rsidR="009C683C" w:rsidRPr="00F3553B">
        <w:rPr>
          <w:iCs/>
        </w:rPr>
        <w:t xml:space="preserve">esearch and </w:t>
      </w:r>
      <w:r w:rsidR="005B2074" w:rsidRPr="00F3553B">
        <w:rPr>
          <w:iCs/>
          <w:lang w:val="en-US"/>
        </w:rPr>
        <w:t>C</w:t>
      </w:r>
      <w:r w:rsidR="009C683C" w:rsidRPr="00F3553B">
        <w:rPr>
          <w:iCs/>
        </w:rPr>
        <w:t xml:space="preserve">linical </w:t>
      </w:r>
      <w:r w:rsidR="005B2074" w:rsidRPr="00F3553B">
        <w:rPr>
          <w:iCs/>
          <w:lang w:val="en-US"/>
        </w:rPr>
        <w:t>O</w:t>
      </w:r>
      <w:r w:rsidR="009C683C" w:rsidRPr="00F3553B">
        <w:rPr>
          <w:iCs/>
        </w:rPr>
        <w:t>ncology</w:t>
      </w:r>
      <w:r w:rsidR="009C683C" w:rsidRPr="00F3553B">
        <w:t xml:space="preserve">, </w:t>
      </w:r>
      <w:r w:rsidR="004E39BA">
        <w:br/>
      </w:r>
      <w:r w:rsidR="00B824EE" w:rsidRPr="00F3553B">
        <w:rPr>
          <w:lang w:val="en-US"/>
        </w:rPr>
        <w:t>V</w:t>
      </w:r>
      <w:r w:rsidR="009C683C" w:rsidRPr="00F3553B">
        <w:t xml:space="preserve">ol. 135, </w:t>
      </w:r>
      <w:r w:rsidR="00B824EE" w:rsidRPr="00F3553B">
        <w:rPr>
          <w:lang w:val="en-US"/>
        </w:rPr>
        <w:t>N</w:t>
      </w:r>
      <w:r w:rsidR="009C683C" w:rsidRPr="00F3553B">
        <w:t>o. 8</w:t>
      </w:r>
      <w:r w:rsidR="00B824EE" w:rsidRPr="00F3553B">
        <w:rPr>
          <w:lang w:val="en-US"/>
        </w:rPr>
        <w:t>, 2009</w:t>
      </w:r>
      <w:r w:rsidR="009C683C" w:rsidRPr="00F3553B">
        <w:t>, pp. 983</w:t>
      </w:r>
      <w:r w:rsidR="00AA4EDA" w:rsidRPr="00F3553B">
        <w:rPr>
          <w:lang w:val="en-US"/>
        </w:rPr>
        <w:t>-</w:t>
      </w:r>
      <w:r w:rsidR="009C683C" w:rsidRPr="00F3553B">
        <w:t>989,</w:t>
      </w:r>
      <w:r w:rsidR="004E39BA">
        <w:tab/>
      </w:r>
      <w:r w:rsidR="005B2074" w:rsidRPr="00F3553B">
        <w:rPr>
          <w:lang w:val="en-US"/>
        </w:rPr>
        <w:t xml:space="preserve"> </w:t>
      </w:r>
      <w:r w:rsidR="00B824EE" w:rsidRPr="00F3553B">
        <w:t>https://doi.org/10.1007/s00432-008-0533-9</w:t>
      </w:r>
      <w:r w:rsidR="009C683C" w:rsidRPr="00F3553B">
        <w:t>.</w:t>
      </w:r>
    </w:p>
    <w:p w14:paraId="5236724A" w14:textId="4C031DA8" w:rsidR="009C683C" w:rsidRPr="00F3553B" w:rsidRDefault="00B824EE" w:rsidP="00F3553B">
      <w:pPr>
        <w:pStyle w:val="thamkhao"/>
      </w:pPr>
      <w:r w:rsidRPr="00F3553B">
        <w:rPr>
          <w:lang w:val="en-US"/>
        </w:rPr>
        <w:t xml:space="preserve">A. </w:t>
      </w:r>
      <w:r w:rsidRPr="00F3553B">
        <w:t>Grace</w:t>
      </w:r>
      <w:r w:rsidR="009C683C" w:rsidRPr="00F3553B">
        <w:t xml:space="preserve">, A </w:t>
      </w:r>
      <w:r w:rsidR="000D46B7" w:rsidRPr="00F3553B">
        <w:t xml:space="preserve">Beginner’s Guide </w:t>
      </w:r>
      <w:r w:rsidR="000D46B7" w:rsidRPr="00F3553B">
        <w:rPr>
          <w:lang w:val="en-US"/>
        </w:rPr>
        <w:t>t</w:t>
      </w:r>
      <w:r w:rsidR="000D46B7" w:rsidRPr="00F3553B">
        <w:t xml:space="preserve">o </w:t>
      </w:r>
      <w:r w:rsidR="009C683C" w:rsidRPr="00F3553B">
        <w:t>RT</w:t>
      </w:r>
      <w:r w:rsidR="000D46B7" w:rsidRPr="00F3553B">
        <w:t>-</w:t>
      </w:r>
      <w:r w:rsidR="009C683C" w:rsidRPr="00F3553B">
        <w:t>PCR</w:t>
      </w:r>
      <w:r w:rsidR="000D46B7" w:rsidRPr="00F3553B">
        <w:t xml:space="preserve">, QPCR </w:t>
      </w:r>
      <w:r w:rsidR="000D46B7" w:rsidRPr="00F3553B">
        <w:rPr>
          <w:lang w:val="en-US"/>
        </w:rPr>
        <w:t>a</w:t>
      </w:r>
      <w:r w:rsidR="000D46B7" w:rsidRPr="00F3553B">
        <w:t>nd RT-QPCR</w:t>
      </w:r>
      <w:r w:rsidR="009C683C" w:rsidRPr="00F3553B">
        <w:t xml:space="preserve">, </w:t>
      </w:r>
      <w:r w:rsidR="006F6D4A" w:rsidRPr="00F3553B">
        <w:rPr>
          <w:iCs/>
          <w:lang w:val="en-US"/>
        </w:rPr>
        <w:t>Biochem</w:t>
      </w:r>
      <w:r w:rsidR="009C683C" w:rsidRPr="00F3553B">
        <w:t xml:space="preserve">, </w:t>
      </w:r>
      <w:r w:rsidR="00D548F6" w:rsidRPr="00F3553B">
        <w:rPr>
          <w:lang w:val="en-US"/>
        </w:rPr>
        <w:t>V</w:t>
      </w:r>
      <w:r w:rsidR="009C683C" w:rsidRPr="00F3553B">
        <w:t xml:space="preserve">ol. 42, </w:t>
      </w:r>
      <w:r w:rsidR="00D548F6" w:rsidRPr="00F3553B">
        <w:rPr>
          <w:lang w:val="en-US"/>
        </w:rPr>
        <w:t>N</w:t>
      </w:r>
      <w:r w:rsidR="009C683C" w:rsidRPr="00F3553B">
        <w:t>o. 3,</w:t>
      </w:r>
      <w:r w:rsidR="00D548F6" w:rsidRPr="00F3553B">
        <w:rPr>
          <w:lang w:val="en-US"/>
        </w:rPr>
        <w:t xml:space="preserve"> 2020,</w:t>
      </w:r>
      <w:r w:rsidR="009C683C" w:rsidRPr="00F3553B">
        <w:t xml:space="preserve"> pp. 48</w:t>
      </w:r>
      <w:r w:rsidR="00AA4EDA" w:rsidRPr="00F3553B">
        <w:rPr>
          <w:lang w:val="en-US"/>
        </w:rPr>
        <w:t>-</w:t>
      </w:r>
      <w:r w:rsidR="009C683C" w:rsidRPr="00F3553B">
        <w:t xml:space="preserve">53, </w:t>
      </w:r>
      <w:r w:rsidR="00D548F6" w:rsidRPr="00F3553B">
        <w:t>https://doi.org/10.1042/BIO20200034</w:t>
      </w:r>
      <w:r w:rsidR="009C683C" w:rsidRPr="00F3553B">
        <w:t>.</w:t>
      </w:r>
    </w:p>
    <w:p w14:paraId="0DCB6E95" w14:textId="1A6E28AB" w:rsidR="009C683C" w:rsidRPr="00F3553B" w:rsidRDefault="006F6D4A" w:rsidP="00F3553B">
      <w:pPr>
        <w:pStyle w:val="thamkhao"/>
      </w:pPr>
      <w:r w:rsidRPr="00F3553B">
        <w:rPr>
          <w:lang w:val="en-US"/>
        </w:rPr>
        <w:t xml:space="preserve">M. T. </w:t>
      </w:r>
      <w:r w:rsidR="009C683C" w:rsidRPr="00F3553B">
        <w:t>Morch</w:t>
      </w:r>
      <w:r w:rsidRPr="00F3553B">
        <w:rPr>
          <w:lang w:val="en-US"/>
        </w:rPr>
        <w:t xml:space="preserve">, </w:t>
      </w:r>
      <w:r w:rsidR="009C683C" w:rsidRPr="00F3553B">
        <w:t>et al.</w:t>
      </w:r>
      <w:r w:rsidR="009C683C" w:rsidRPr="00F3553B" w:rsidDel="00E22901">
        <w:t xml:space="preserve"> </w:t>
      </w:r>
      <w:r w:rsidR="009C683C" w:rsidRPr="00F3553B">
        <w:t>, Mitochondria</w:t>
      </w:r>
      <w:r w:rsidR="005B2074" w:rsidRPr="00F3553B">
        <w:rPr>
          <w:lang w:val="en-US"/>
        </w:rPr>
        <w:t xml:space="preserve"> </w:t>
      </w:r>
      <w:r w:rsidR="00AA4EDA" w:rsidRPr="00F3553B">
        <w:rPr>
          <w:lang w:val="en-US"/>
        </w:rPr>
        <w:t>-</w:t>
      </w:r>
      <w:r w:rsidR="005B2074" w:rsidRPr="00F3553B">
        <w:rPr>
          <w:lang w:val="en-US"/>
        </w:rPr>
        <w:t xml:space="preserve"> a</w:t>
      </w:r>
      <w:r w:rsidR="009C683C" w:rsidRPr="00F3553B">
        <w:t xml:space="preserve"> </w:t>
      </w:r>
      <w:r w:rsidR="005B2074" w:rsidRPr="00F3553B">
        <w:rPr>
          <w:lang w:val="en-US"/>
        </w:rPr>
        <w:t>T</w:t>
      </w:r>
      <w:r w:rsidR="009C683C" w:rsidRPr="00F3553B">
        <w:t xml:space="preserve">arget for </w:t>
      </w:r>
      <w:r w:rsidR="005B2074" w:rsidRPr="00F3553B">
        <w:rPr>
          <w:lang w:val="en-US"/>
        </w:rPr>
        <w:t>A</w:t>
      </w:r>
      <w:r w:rsidR="009C683C" w:rsidRPr="00F3553B">
        <w:t xml:space="preserve">ttenuation of </w:t>
      </w:r>
      <w:r w:rsidR="005B2074" w:rsidRPr="00F3553B">
        <w:rPr>
          <w:lang w:val="en-US"/>
        </w:rPr>
        <w:t>A</w:t>
      </w:r>
      <w:r w:rsidR="009C683C" w:rsidRPr="00F3553B">
        <w:t xml:space="preserve">strocyte </w:t>
      </w:r>
      <w:r w:rsidR="005B2074" w:rsidRPr="00F3553B">
        <w:rPr>
          <w:lang w:val="en-US"/>
        </w:rPr>
        <w:t>P</w:t>
      </w:r>
      <w:r w:rsidR="009C683C" w:rsidRPr="00F3553B">
        <w:t xml:space="preserve">athology, </w:t>
      </w:r>
      <w:r w:rsidR="009C683C" w:rsidRPr="00F3553B">
        <w:rPr>
          <w:iCs/>
        </w:rPr>
        <w:t xml:space="preserve">Journal of </w:t>
      </w:r>
      <w:r w:rsidR="005B2074" w:rsidRPr="00F3553B">
        <w:rPr>
          <w:iCs/>
          <w:lang w:val="en-US"/>
        </w:rPr>
        <w:t>N</w:t>
      </w:r>
      <w:r w:rsidR="009C683C" w:rsidRPr="00F3553B">
        <w:rPr>
          <w:iCs/>
        </w:rPr>
        <w:t>euroimmunology</w:t>
      </w:r>
      <w:r w:rsidR="009C683C" w:rsidRPr="00F3553B">
        <w:t xml:space="preserve">, </w:t>
      </w:r>
      <w:r w:rsidR="00546F75" w:rsidRPr="00F3553B">
        <w:rPr>
          <w:lang w:val="en-US"/>
        </w:rPr>
        <w:t>V</w:t>
      </w:r>
      <w:r w:rsidR="009C683C" w:rsidRPr="00F3553B">
        <w:t xml:space="preserve">ol. 358, </w:t>
      </w:r>
      <w:r w:rsidR="00546F75" w:rsidRPr="00F3553B">
        <w:rPr>
          <w:lang w:val="en-US"/>
        </w:rPr>
        <w:t>N</w:t>
      </w:r>
      <w:r w:rsidR="009C683C" w:rsidRPr="00F3553B">
        <w:t xml:space="preserve">o. </w:t>
      </w:r>
      <w:r w:rsidR="004E39BA">
        <w:rPr>
          <w:lang w:val="en-US"/>
        </w:rPr>
        <w:t>1</w:t>
      </w:r>
      <w:r w:rsidR="009C683C" w:rsidRPr="00F3553B">
        <w:t>,</w:t>
      </w:r>
      <w:r w:rsidR="00A60A5F" w:rsidRPr="00F3553B">
        <w:rPr>
          <w:lang w:val="en-US"/>
        </w:rPr>
        <w:t xml:space="preserve"> 2021,</w:t>
      </w:r>
      <w:r w:rsidR="009C683C" w:rsidRPr="00F3553B">
        <w:t xml:space="preserve"> </w:t>
      </w:r>
      <w:r w:rsidR="004E39BA">
        <w:br/>
      </w:r>
      <w:r w:rsidR="00546F75" w:rsidRPr="00F3553B">
        <w:rPr>
          <w:lang w:val="en-US"/>
        </w:rPr>
        <w:t>p</w:t>
      </w:r>
      <w:r w:rsidR="00A60A5F" w:rsidRPr="00F3553B">
        <w:t>p. 577657,</w:t>
      </w:r>
      <w:r w:rsidR="004E39BA">
        <w:tab/>
      </w:r>
      <w:r w:rsidR="00A60A5F" w:rsidRPr="00F3553B">
        <w:t xml:space="preserve"> https://doi.org/</w:t>
      </w:r>
      <w:r w:rsidR="009C683C" w:rsidRPr="00F3553B">
        <w:t>10.1016/j.jneuroim.2021.577657.</w:t>
      </w:r>
    </w:p>
    <w:p w14:paraId="505DFA9B" w14:textId="7D2C0A22" w:rsidR="009C683C" w:rsidRPr="00F3553B" w:rsidRDefault="00A60A5F" w:rsidP="00F3553B">
      <w:pPr>
        <w:pStyle w:val="thamkhao"/>
      </w:pPr>
      <w:r w:rsidRPr="00F3553B">
        <w:rPr>
          <w:lang w:val="en-US"/>
        </w:rPr>
        <w:t xml:space="preserve">G. </w:t>
      </w:r>
      <w:r w:rsidR="009C683C" w:rsidRPr="00F3553B">
        <w:t>A</w:t>
      </w:r>
      <w:r w:rsidR="004E39BA">
        <w:rPr>
          <w:lang w:val="en-US"/>
        </w:rPr>
        <w:t xml:space="preserve">. </w:t>
      </w:r>
      <w:r w:rsidR="009C683C" w:rsidRPr="00F3553B">
        <w:t>Kafaji</w:t>
      </w:r>
      <w:r w:rsidR="005D19FF" w:rsidRPr="00F3553B">
        <w:rPr>
          <w:lang w:val="en-US"/>
        </w:rPr>
        <w:t xml:space="preserve">, </w:t>
      </w:r>
      <w:r w:rsidR="009C683C" w:rsidRPr="00F3553B">
        <w:t>et al., Mitochondrial DNA Copy Number in Peripheral Blood as a Potential Non-</w:t>
      </w:r>
      <w:r w:rsidR="005B2074" w:rsidRPr="00F3553B">
        <w:rPr>
          <w:lang w:val="en-US"/>
        </w:rPr>
        <w:t>I</w:t>
      </w:r>
      <w:r w:rsidR="009C683C" w:rsidRPr="00F3553B">
        <w:t xml:space="preserve">nvasive Biomarker for Multiple Sclerosis, </w:t>
      </w:r>
      <w:r w:rsidR="009C683C" w:rsidRPr="00F3553B">
        <w:rPr>
          <w:iCs/>
        </w:rPr>
        <w:t xml:space="preserve">Neuromolecular </w:t>
      </w:r>
      <w:r w:rsidR="005B2074" w:rsidRPr="00F3553B">
        <w:rPr>
          <w:iCs/>
          <w:lang w:val="en-US"/>
        </w:rPr>
        <w:t>M</w:t>
      </w:r>
      <w:r w:rsidR="009C683C" w:rsidRPr="00F3553B">
        <w:rPr>
          <w:iCs/>
        </w:rPr>
        <w:t>edicine,</w:t>
      </w:r>
      <w:r w:rsidR="009C683C" w:rsidRPr="00F3553B">
        <w:t xml:space="preserve"> </w:t>
      </w:r>
      <w:r w:rsidR="005D19FF" w:rsidRPr="00F3553B">
        <w:rPr>
          <w:lang w:val="en-US"/>
        </w:rPr>
        <w:t>V</w:t>
      </w:r>
      <w:r w:rsidR="009C683C" w:rsidRPr="00F3553B">
        <w:t xml:space="preserve">ol. 22, </w:t>
      </w:r>
      <w:r w:rsidR="005D19FF" w:rsidRPr="00F3553B">
        <w:rPr>
          <w:lang w:val="en-US"/>
        </w:rPr>
        <w:t>N</w:t>
      </w:r>
      <w:r w:rsidR="009C683C" w:rsidRPr="00F3553B">
        <w:t xml:space="preserve">o. 2, </w:t>
      </w:r>
      <w:r w:rsidR="005D19FF" w:rsidRPr="00F3553B">
        <w:rPr>
          <w:lang w:val="en-US"/>
        </w:rPr>
        <w:t xml:space="preserve">2020, </w:t>
      </w:r>
      <w:r w:rsidR="009C683C" w:rsidRPr="00F3553B">
        <w:lastRenderedPageBreak/>
        <w:t>pp. 304</w:t>
      </w:r>
      <w:r w:rsidR="00AA4EDA" w:rsidRPr="00F3553B">
        <w:rPr>
          <w:lang w:val="en-US"/>
        </w:rPr>
        <w:t>-</w:t>
      </w:r>
      <w:r w:rsidR="004E39BA">
        <w:t xml:space="preserve">313, </w:t>
      </w:r>
      <w:r w:rsidR="005D19FF" w:rsidRPr="00F3553B">
        <w:t>https://doi.org/10.1007/s12017-019-08588-w</w:t>
      </w:r>
      <w:r w:rsidR="005D19FF" w:rsidRPr="00F3553B">
        <w:rPr>
          <w:lang w:val="en-US"/>
        </w:rPr>
        <w:t>.</w:t>
      </w:r>
    </w:p>
    <w:p w14:paraId="4063FA27" w14:textId="601E52ED" w:rsidR="009C683C" w:rsidRPr="00F3553B" w:rsidRDefault="006C1B65" w:rsidP="00F3553B">
      <w:pPr>
        <w:pStyle w:val="thamkhao"/>
      </w:pPr>
      <w:r w:rsidRPr="00F3553B">
        <w:t>M</w:t>
      </w:r>
      <w:r>
        <w:rPr>
          <w:lang w:val="en-US"/>
        </w:rPr>
        <w:t xml:space="preserve">. </w:t>
      </w:r>
      <w:r w:rsidR="009C683C" w:rsidRPr="00F3553B">
        <w:t xml:space="preserve">Sanchez-Contreras, </w:t>
      </w:r>
      <w:r w:rsidR="009C683C" w:rsidRPr="00F3553B">
        <w:rPr>
          <w:iCs/>
        </w:rPr>
        <w:t>et al.</w:t>
      </w:r>
      <w:r w:rsidR="009C683C" w:rsidRPr="00F3553B">
        <w:t xml:space="preserve">, The </w:t>
      </w:r>
      <w:r w:rsidR="00A03A42" w:rsidRPr="00F3553B">
        <w:t xml:space="preserve">Multi-Tissue Landscape </w:t>
      </w:r>
      <w:r w:rsidR="00A03A42" w:rsidRPr="00F3553B">
        <w:rPr>
          <w:lang w:val="en-US"/>
        </w:rPr>
        <w:t>o</w:t>
      </w:r>
      <w:r w:rsidR="00A03A42" w:rsidRPr="00F3553B">
        <w:t xml:space="preserve">f Somatic </w:t>
      </w:r>
      <w:r w:rsidR="00A03A42" w:rsidRPr="00F3553B">
        <w:rPr>
          <w:lang w:val="en-US"/>
        </w:rPr>
        <w:t>mt</w:t>
      </w:r>
      <w:r w:rsidR="00A03A42" w:rsidRPr="00F3553B">
        <w:t xml:space="preserve">DNA Mutations Indicates Tissue-Specific Accumulation </w:t>
      </w:r>
      <w:r w:rsidR="00A03A42" w:rsidRPr="00F3553B">
        <w:rPr>
          <w:lang w:val="en-US"/>
        </w:rPr>
        <w:t>a</w:t>
      </w:r>
      <w:r w:rsidR="00A03A42" w:rsidRPr="00F3553B">
        <w:t xml:space="preserve">nd Removal </w:t>
      </w:r>
      <w:r w:rsidR="00A03A42" w:rsidRPr="00F3553B">
        <w:rPr>
          <w:lang w:val="en-US"/>
        </w:rPr>
        <w:t>i</w:t>
      </w:r>
      <w:r w:rsidR="00A03A42" w:rsidRPr="00F3553B">
        <w:t>n Aging</w:t>
      </w:r>
      <w:r w:rsidR="009C683C" w:rsidRPr="00F3553B">
        <w:t xml:space="preserve">, </w:t>
      </w:r>
      <w:r w:rsidR="009C683C" w:rsidRPr="00F3553B">
        <w:rPr>
          <w:iCs/>
        </w:rPr>
        <w:t>Elife</w:t>
      </w:r>
      <w:r w:rsidR="009C683C" w:rsidRPr="00F3553B">
        <w:t xml:space="preserve">, </w:t>
      </w:r>
      <w:r w:rsidR="00A03A42" w:rsidRPr="00F3553B">
        <w:rPr>
          <w:lang w:val="en-US"/>
        </w:rPr>
        <w:t>V</w:t>
      </w:r>
      <w:r w:rsidR="009C683C" w:rsidRPr="00F3553B">
        <w:t>ol. 12,</w:t>
      </w:r>
      <w:r w:rsidR="00052CCB" w:rsidRPr="00F3553B">
        <w:rPr>
          <w:lang w:val="en-US"/>
        </w:rPr>
        <w:t xml:space="preserve"> No. e883395</w:t>
      </w:r>
      <w:r w:rsidR="004E39BA">
        <w:rPr>
          <w:lang w:val="en-US"/>
        </w:rPr>
        <w:t>,</w:t>
      </w:r>
      <w:r w:rsidR="00A03A42" w:rsidRPr="00F3553B">
        <w:rPr>
          <w:lang w:val="en-US"/>
        </w:rPr>
        <w:t xml:space="preserve"> 2023,</w:t>
      </w:r>
      <w:r w:rsidR="009C683C" w:rsidRPr="00F3553B">
        <w:t xml:space="preserve"> </w:t>
      </w:r>
      <w:r w:rsidR="00052CCB" w:rsidRPr="00F3553B">
        <w:t>https://doi.org/10.7554/eLife.83395</w:t>
      </w:r>
      <w:r w:rsidR="009C683C" w:rsidRPr="00F3553B">
        <w:t>.</w:t>
      </w:r>
    </w:p>
    <w:p w14:paraId="56808EF2" w14:textId="55042396" w:rsidR="009C683C" w:rsidRPr="00F3553B" w:rsidRDefault="00E757D8" w:rsidP="00F3553B">
      <w:pPr>
        <w:pStyle w:val="thamkhao"/>
      </w:pPr>
      <w:r w:rsidRPr="00F3553B">
        <w:rPr>
          <w:lang w:val="en-US"/>
        </w:rPr>
        <w:t xml:space="preserve">A. </w:t>
      </w:r>
      <w:r w:rsidR="009C683C" w:rsidRPr="00F3553B">
        <w:t>Picca</w:t>
      </w:r>
      <w:r w:rsidRPr="00F3553B">
        <w:rPr>
          <w:lang w:val="en-US"/>
        </w:rPr>
        <w:t xml:space="preserve"> </w:t>
      </w:r>
      <w:r w:rsidR="009C683C" w:rsidRPr="00F3553B">
        <w:rPr>
          <w:iCs/>
        </w:rPr>
        <w:t>et al.</w:t>
      </w:r>
      <w:r w:rsidR="009C683C" w:rsidRPr="00F3553B">
        <w:t xml:space="preserve">, The </w:t>
      </w:r>
      <w:r w:rsidRPr="00F3553B">
        <w:t xml:space="preserve">Contribution </w:t>
      </w:r>
      <w:r w:rsidRPr="00F3553B">
        <w:rPr>
          <w:lang w:val="en-US"/>
        </w:rPr>
        <w:t>o</w:t>
      </w:r>
      <w:r w:rsidRPr="00F3553B">
        <w:t xml:space="preserve">f Mitochondrial </w:t>
      </w:r>
      <w:r w:rsidR="009C683C" w:rsidRPr="00F3553B">
        <w:t xml:space="preserve">DNA </w:t>
      </w:r>
      <w:r w:rsidRPr="00F3553B">
        <w:t xml:space="preserve">Alterations </w:t>
      </w:r>
      <w:r w:rsidRPr="00F3553B">
        <w:rPr>
          <w:lang w:val="en-US"/>
        </w:rPr>
        <w:t>t</w:t>
      </w:r>
      <w:r w:rsidRPr="00F3553B">
        <w:t xml:space="preserve">o Aging, Cancer, </w:t>
      </w:r>
      <w:r w:rsidR="005B2074" w:rsidRPr="00F3553B">
        <w:rPr>
          <w:lang w:val="en-US"/>
        </w:rPr>
        <w:t>a</w:t>
      </w:r>
      <w:r w:rsidRPr="00F3553B">
        <w:t>nd Neurodegeneration</w:t>
      </w:r>
      <w:r w:rsidR="009C683C" w:rsidRPr="00F3553B">
        <w:t xml:space="preserve">, </w:t>
      </w:r>
      <w:r w:rsidR="009C683C" w:rsidRPr="00F3553B">
        <w:rPr>
          <w:iCs/>
        </w:rPr>
        <w:t>Experimental Gerontology</w:t>
      </w:r>
      <w:r w:rsidR="009C683C" w:rsidRPr="00F3553B">
        <w:t xml:space="preserve">, </w:t>
      </w:r>
      <w:r w:rsidR="003C35AC" w:rsidRPr="00F3553B">
        <w:rPr>
          <w:lang w:val="en-US"/>
        </w:rPr>
        <w:t>V</w:t>
      </w:r>
      <w:r w:rsidR="009C683C" w:rsidRPr="00F3553B">
        <w:t xml:space="preserve">ol. 178, </w:t>
      </w:r>
      <w:r w:rsidR="003C35AC" w:rsidRPr="00F3553B">
        <w:rPr>
          <w:lang w:val="en-US"/>
        </w:rPr>
        <w:t>N</w:t>
      </w:r>
      <w:r w:rsidR="009C683C" w:rsidRPr="00F3553B">
        <w:t xml:space="preserve">o. </w:t>
      </w:r>
      <w:r w:rsidR="004E39BA">
        <w:rPr>
          <w:lang w:val="en-US"/>
        </w:rPr>
        <w:t>5</w:t>
      </w:r>
      <w:r w:rsidR="009C683C" w:rsidRPr="00F3553B">
        <w:t xml:space="preserve">, </w:t>
      </w:r>
      <w:r w:rsidR="003C35AC" w:rsidRPr="00F3553B">
        <w:rPr>
          <w:lang w:val="en-US"/>
        </w:rPr>
        <w:t xml:space="preserve">2023, pp.  112203, </w:t>
      </w:r>
      <w:r w:rsidR="003C35AC" w:rsidRPr="00F3553B">
        <w:t>https://doi.org/10.1016/j.exger.2023.112203</w:t>
      </w:r>
    </w:p>
    <w:p w14:paraId="71BAF61A" w14:textId="00FF29EA" w:rsidR="00F50018" w:rsidRPr="00F3553B" w:rsidRDefault="009C683C" w:rsidP="00F3553B">
      <w:pPr>
        <w:pStyle w:val="thamkhao"/>
      </w:pPr>
      <w:r w:rsidRPr="00F3553B">
        <w:t>N. T</w:t>
      </w:r>
      <w:r w:rsidR="00F50018" w:rsidRPr="00F3553B">
        <w:rPr>
          <w:lang w:val="en-US"/>
        </w:rPr>
        <w:t>. T.</w:t>
      </w:r>
      <w:r w:rsidRPr="00F3553B">
        <w:t xml:space="preserve"> Linh, et al., Large-Scale Deletions of Mitochondrial DNA in Epilepsy Patients Treated with Carbamazepine, VNU Journal of Science: Natural Sciences and Technology, </w:t>
      </w:r>
      <w:r w:rsidR="003C35AC" w:rsidRPr="00F3553B">
        <w:rPr>
          <w:lang w:val="en-US"/>
        </w:rPr>
        <w:t>V</w:t>
      </w:r>
      <w:r w:rsidRPr="00F3553B">
        <w:t xml:space="preserve">ol 40, </w:t>
      </w:r>
      <w:r w:rsidR="003C35AC" w:rsidRPr="00F3553B">
        <w:rPr>
          <w:lang w:val="en-US"/>
        </w:rPr>
        <w:t>N</w:t>
      </w:r>
      <w:r w:rsidRPr="00F3553B">
        <w:t>o.1,</w:t>
      </w:r>
      <w:r w:rsidR="003C35AC" w:rsidRPr="00F3553B">
        <w:rPr>
          <w:lang w:val="en-US"/>
        </w:rPr>
        <w:t xml:space="preserve"> 2024,</w:t>
      </w:r>
      <w:r w:rsidRPr="00F3553B">
        <w:t xml:space="preserve"> pp. 34-44, </w:t>
      </w:r>
      <w:r w:rsidR="00685692" w:rsidRPr="00F3553B">
        <w:t>https://doi.org/</w:t>
      </w:r>
      <w:r w:rsidRPr="00F3553B">
        <w:t>10.25073/2588-1140/vnunst.5</w:t>
      </w:r>
      <w:r w:rsidR="00F50018" w:rsidRPr="00F3553B">
        <w:t>487</w:t>
      </w:r>
      <w:r w:rsidR="00F50018" w:rsidRPr="00F3553B">
        <w:rPr>
          <w:lang w:val="en-US"/>
        </w:rPr>
        <w:t xml:space="preserve"> </w:t>
      </w:r>
      <w:r w:rsidR="00F50018" w:rsidRPr="00F3553B">
        <w:rPr>
          <w:rFonts w:eastAsia="Verdana"/>
          <w:spacing w:val="-4"/>
          <w:szCs w:val="28"/>
        </w:rPr>
        <w:t>(in Vietnamese).</w:t>
      </w:r>
    </w:p>
    <w:p w14:paraId="1CF8BF85" w14:textId="552AC322" w:rsidR="009C683C" w:rsidRPr="00F3553B" w:rsidRDefault="009C683C" w:rsidP="00F3553B">
      <w:pPr>
        <w:pStyle w:val="thamkhao"/>
        <w:numPr>
          <w:ilvl w:val="0"/>
          <w:numId w:val="0"/>
        </w:numPr>
        <w:ind w:left="397"/>
      </w:pPr>
    </w:p>
    <w:p w14:paraId="275FADE8" w14:textId="77777777" w:rsidR="003E1EF7" w:rsidRPr="002C2BF5" w:rsidRDefault="009C683C" w:rsidP="00F3553B">
      <w:pPr>
        <w:pStyle w:val="thamkhao"/>
        <w:numPr>
          <w:ilvl w:val="0"/>
          <w:numId w:val="0"/>
        </w:numPr>
        <w:ind w:left="397"/>
        <w:sectPr w:rsidR="003E1EF7" w:rsidRPr="002C2BF5" w:rsidSect="003E1EF7">
          <w:type w:val="continuous"/>
          <w:pgSz w:w="11907" w:h="16840" w:code="9"/>
          <w:pgMar w:top="2041" w:right="1418" w:bottom="2438" w:left="1418" w:header="1531" w:footer="2098" w:gutter="0"/>
          <w:cols w:num="2" w:space="567"/>
          <w:docGrid w:linePitch="360"/>
        </w:sectPr>
      </w:pPr>
      <w:r w:rsidRPr="00F3553B">
        <w:fldChar w:fldCharType="end"/>
      </w:r>
    </w:p>
    <w:p w14:paraId="1611C542" w14:textId="4BAF83CA" w:rsidR="00373E62" w:rsidRPr="002C2BF5" w:rsidRDefault="00373E62" w:rsidP="00F3553B">
      <w:pPr>
        <w:pStyle w:val="thamkhao"/>
        <w:numPr>
          <w:ilvl w:val="0"/>
          <w:numId w:val="0"/>
        </w:numPr>
        <w:ind w:left="397"/>
      </w:pPr>
    </w:p>
    <w:sectPr w:rsidR="00373E62" w:rsidRPr="002C2BF5" w:rsidSect="003E1EF7">
      <w:type w:val="continuous"/>
      <w:pgSz w:w="11907" w:h="16840" w:code="9"/>
      <w:pgMar w:top="2041" w:right="1418" w:bottom="2438" w:left="1418" w:header="1531" w:footer="2098"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53145" w14:textId="77777777" w:rsidR="00F34FE7" w:rsidRDefault="00F34FE7" w:rsidP="00863910">
      <w:pPr>
        <w:spacing w:after="0" w:line="240" w:lineRule="auto"/>
      </w:pPr>
      <w:r>
        <w:separator/>
      </w:r>
    </w:p>
  </w:endnote>
  <w:endnote w:type="continuationSeparator" w:id="0">
    <w:p w14:paraId="0EF4E468" w14:textId="77777777" w:rsidR="00F34FE7" w:rsidRDefault="00F34FE7" w:rsidP="0086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7824" w14:textId="3591FE6F" w:rsidR="005D19FF" w:rsidRDefault="005D19FF" w:rsidP="00280A03">
    <w:pPr>
      <w:pStyle w:val="Footer"/>
      <w:spacing w:after="284"/>
      <w:jc w:val="center"/>
    </w:pPr>
    <w:r>
      <w:fldChar w:fldCharType="begin"/>
    </w:r>
    <w:r>
      <w:instrText xml:space="preserve"> PAGE   \* MERGEFORMAT </w:instrText>
    </w:r>
    <w:r>
      <w:fldChar w:fldCharType="separate"/>
    </w:r>
    <w:r w:rsidR="009B6464">
      <w:rPr>
        <w:noProof/>
      </w:rPr>
      <w:t>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D364" w14:textId="77777777" w:rsidR="005D19FF" w:rsidRPr="00C3103C" w:rsidRDefault="005D19FF" w:rsidP="00C3103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7A92" w14:textId="77777777" w:rsidR="005D19FF" w:rsidRDefault="005D19F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F217" w14:textId="77777777" w:rsidR="005D19FF" w:rsidRPr="00A51FB7" w:rsidRDefault="005D19FF" w:rsidP="005D19FF">
    <w:pPr>
      <w:pStyle w:val="Footer"/>
      <w:framePr w:wrap="around" w:vAnchor="text" w:hAnchor="margin" w:xAlign="center" w:y="1"/>
      <w:rPr>
        <w:rStyle w:val="PageNumber"/>
        <w:sz w:val="22"/>
        <w:szCs w:val="22"/>
      </w:rPr>
    </w:pPr>
    <w:r w:rsidRPr="00A51FB7">
      <w:rPr>
        <w:rStyle w:val="PageNumber"/>
        <w:sz w:val="22"/>
        <w:szCs w:val="22"/>
      </w:rPr>
      <w:fldChar w:fldCharType="begin"/>
    </w:r>
    <w:r w:rsidRPr="00A51FB7">
      <w:rPr>
        <w:rStyle w:val="PageNumber"/>
        <w:sz w:val="22"/>
        <w:szCs w:val="22"/>
      </w:rPr>
      <w:instrText xml:space="preserve">PAGE  </w:instrText>
    </w:r>
    <w:r w:rsidRPr="00A51FB7">
      <w:rPr>
        <w:rStyle w:val="PageNumber"/>
        <w:sz w:val="22"/>
        <w:szCs w:val="22"/>
      </w:rPr>
      <w:fldChar w:fldCharType="separate"/>
    </w:r>
    <w:r>
      <w:rPr>
        <w:rStyle w:val="PageNumber"/>
        <w:noProof/>
        <w:sz w:val="22"/>
        <w:szCs w:val="22"/>
      </w:rPr>
      <w:t>2</w:t>
    </w:r>
    <w:r w:rsidRPr="00A51FB7">
      <w:rPr>
        <w:rStyle w:val="PageNumber"/>
        <w:sz w:val="22"/>
        <w:szCs w:val="22"/>
      </w:rPr>
      <w:fldChar w:fldCharType="end"/>
    </w:r>
  </w:p>
  <w:p w14:paraId="23C12E2E" w14:textId="77777777" w:rsidR="005D19FF" w:rsidRPr="00BB05C9" w:rsidRDefault="005D19FF" w:rsidP="005D19FF">
    <w:pPr>
      <w:spacing w:after="28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1273F" w14:textId="77777777" w:rsidR="00F34FE7" w:rsidRDefault="00F34FE7" w:rsidP="00863910">
      <w:pPr>
        <w:spacing w:after="0" w:line="240" w:lineRule="auto"/>
      </w:pPr>
      <w:r>
        <w:t>________</w:t>
      </w:r>
    </w:p>
  </w:footnote>
  <w:footnote w:type="continuationSeparator" w:id="0">
    <w:p w14:paraId="6F15C85F" w14:textId="77777777" w:rsidR="00F34FE7" w:rsidRDefault="00F34FE7" w:rsidP="00863910">
      <w:pPr>
        <w:spacing w:after="0" w:line="240" w:lineRule="auto"/>
      </w:pPr>
      <w:r>
        <w:continuationSeparator/>
      </w:r>
    </w:p>
  </w:footnote>
  <w:footnote w:id="1">
    <w:p w14:paraId="1D9AD4E2" w14:textId="77777777" w:rsidR="005D19FF" w:rsidRPr="007F4C11" w:rsidRDefault="005D19FF" w:rsidP="00632004">
      <w:pPr>
        <w:pStyle w:val="HTMLPreformatted"/>
        <w:shd w:val="clear" w:color="auto" w:fill="FFFFFF"/>
        <w:rPr>
          <w:rFonts w:ascii="Times New Roman" w:hAnsi="Times New Roman" w:cs="Times New Roman"/>
          <w:color w:val="000000"/>
          <w:sz w:val="18"/>
          <w:szCs w:val="18"/>
        </w:rPr>
      </w:pPr>
      <w:r w:rsidRPr="00053E88">
        <w:rPr>
          <w:rStyle w:val="FootnoteReference"/>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color w:val="000000"/>
          <w:sz w:val="18"/>
          <w:szCs w:val="18"/>
        </w:rPr>
        <w:t>Corresponding author.</w:t>
      </w:r>
    </w:p>
    <w:p w14:paraId="2E41B0F1" w14:textId="77777777" w:rsidR="005D19FF" w:rsidRPr="009C683C" w:rsidRDefault="005D19FF" w:rsidP="009C683C">
      <w:pPr>
        <w:pStyle w:val="FootnoteText"/>
        <w:rPr>
          <w:color w:val="000000" w:themeColor="text1"/>
          <w:sz w:val="18"/>
          <w:szCs w:val="18"/>
        </w:rPr>
      </w:pPr>
      <w:r w:rsidRPr="007F4C11">
        <w:rPr>
          <w:color w:val="000000"/>
          <w:sz w:val="18"/>
          <w:szCs w:val="18"/>
        </w:rPr>
        <w:t xml:space="preserve">   </w:t>
      </w:r>
      <w:r w:rsidRPr="00AE793E">
        <w:rPr>
          <w:i/>
          <w:color w:val="000000"/>
          <w:sz w:val="18"/>
          <w:szCs w:val="18"/>
        </w:rPr>
        <w:t>E</w:t>
      </w:r>
      <w:r>
        <w:rPr>
          <w:i/>
          <w:color w:val="000000"/>
          <w:sz w:val="18"/>
          <w:szCs w:val="18"/>
        </w:rPr>
        <w:t>-</w:t>
      </w:r>
      <w:r w:rsidRPr="00AE793E">
        <w:rPr>
          <w:i/>
          <w:color w:val="000000"/>
          <w:sz w:val="18"/>
          <w:szCs w:val="18"/>
        </w:rPr>
        <w:t>mail address:</w:t>
      </w:r>
      <w:r w:rsidRPr="009C683C">
        <w:rPr>
          <w:color w:val="000000"/>
          <w:sz w:val="18"/>
          <w:szCs w:val="18"/>
        </w:rPr>
        <w:t xml:space="preserve"> </w:t>
      </w:r>
      <w:r w:rsidRPr="009C683C">
        <w:rPr>
          <w:sz w:val="18"/>
          <w:szCs w:val="18"/>
        </w:rPr>
        <w:t>thaithvnu@yahoo.com</w:t>
      </w:r>
    </w:p>
    <w:p w14:paraId="2045E24F" w14:textId="7ADBB6C1" w:rsidR="005D19FF" w:rsidRDefault="005D19FF" w:rsidP="00632004">
      <w:pPr>
        <w:pStyle w:val="HTMLPreformatted"/>
        <w:shd w:val="clear" w:color="auto" w:fill="FFFFFF"/>
        <w:spacing w:before="120"/>
      </w:pPr>
      <w:r w:rsidRPr="00F00873">
        <w:rPr>
          <w:rStyle w:val="Hyperlink"/>
          <w:color w:val="FFFFFF" w:themeColor="background1"/>
          <w:sz w:val="18"/>
          <w:szCs w:val="18"/>
          <w:lang w:eastAsia="zh-CN"/>
        </w:rPr>
        <w:t xml:space="preserve"> </w:t>
      </w:r>
      <w:r w:rsidRPr="003D5A09">
        <w:rPr>
          <w:rFonts w:ascii="Times New Roman" w:hAnsi="Times New Roman" w:cs="Times New Roman"/>
          <w:color w:val="000000"/>
          <w:sz w:val="18"/>
          <w:szCs w:val="18"/>
        </w:rPr>
        <w:t>https://doi.org/10.25073/2588-1132/vnumps.</w:t>
      </w:r>
      <w:r>
        <w:rPr>
          <w:rFonts w:ascii="Times New Roman" w:hAnsi="Times New Roman" w:cs="Times New Roman"/>
          <w:color w:val="000000"/>
          <w:sz w:val="18"/>
          <w:szCs w:val="18"/>
        </w:rPr>
        <w:t>4643</w:t>
      </w:r>
    </w:p>
  </w:footnote>
  <w:footnote w:id="2">
    <w:p w14:paraId="53D70655" w14:textId="77777777" w:rsidR="005D19FF" w:rsidRPr="00F109D1" w:rsidRDefault="005D19FF" w:rsidP="009C683C">
      <w:pPr>
        <w:pStyle w:val="HTMLPreformatted"/>
        <w:shd w:val="clear" w:color="auto" w:fill="FFFFFF"/>
        <w:rPr>
          <w:rFonts w:ascii="Times New Roman" w:hAnsi="Times New Roman" w:cs="Times New Roman"/>
          <w:color w:val="000000"/>
          <w:sz w:val="18"/>
          <w:szCs w:val="18"/>
        </w:rPr>
      </w:pPr>
      <w:r w:rsidRPr="00F109D1">
        <w:rPr>
          <w:rStyle w:val="FootnoteReference"/>
          <w:rFonts w:ascii="Times New Roman" w:hAnsi="Times New Roman" w:cs="Times New Roman"/>
          <w:sz w:val="18"/>
          <w:szCs w:val="18"/>
        </w:rPr>
        <w:t>*</w:t>
      </w:r>
      <w:r w:rsidRPr="00096C4E">
        <w:rPr>
          <w:rFonts w:ascii="Times New Roman" w:hAnsi="Times New Roman" w:cs="Times New Roman"/>
          <w:color w:val="000000"/>
          <w:sz w:val="18"/>
          <w:szCs w:val="18"/>
        </w:rPr>
        <w:t xml:space="preserve"> </w:t>
      </w:r>
      <w:r w:rsidRPr="002E7DF5">
        <w:rPr>
          <w:rFonts w:ascii="Times New Roman" w:hAnsi="Times New Roman" w:cs="Times New Roman"/>
          <w:color w:val="000000"/>
          <w:sz w:val="18"/>
          <w:szCs w:val="18"/>
        </w:rPr>
        <w:t>Tác giả liên hệ</w:t>
      </w:r>
      <w:r w:rsidRPr="00F109D1">
        <w:rPr>
          <w:rFonts w:ascii="Times New Roman" w:hAnsi="Times New Roman" w:cs="Times New Roman"/>
          <w:color w:val="000000"/>
          <w:sz w:val="18"/>
          <w:szCs w:val="18"/>
        </w:rPr>
        <w:t>.</w:t>
      </w:r>
    </w:p>
    <w:p w14:paraId="7B1ABCC6" w14:textId="48813D3D" w:rsidR="005D19FF" w:rsidRDefault="005D19FF" w:rsidP="009C683C">
      <w:pPr>
        <w:pStyle w:val="FootnoteText"/>
        <w:rPr>
          <w:sz w:val="18"/>
          <w:szCs w:val="18"/>
        </w:rPr>
      </w:pPr>
      <w:r w:rsidRPr="00096C4E">
        <w:rPr>
          <w:color w:val="000000"/>
          <w:sz w:val="18"/>
          <w:szCs w:val="18"/>
        </w:rPr>
        <w:t xml:space="preserve">   </w:t>
      </w:r>
      <w:r w:rsidRPr="00595097">
        <w:rPr>
          <w:i/>
          <w:color w:val="000000"/>
          <w:sz w:val="18"/>
          <w:szCs w:val="18"/>
        </w:rPr>
        <w:t>Địa chỉ email:</w:t>
      </w:r>
      <w:r w:rsidRPr="00584E77">
        <w:rPr>
          <w:color w:val="000000"/>
          <w:sz w:val="18"/>
          <w:szCs w:val="18"/>
        </w:rPr>
        <w:t xml:space="preserve"> </w:t>
      </w:r>
      <w:hyperlink r:id="rId1" w:history="1">
        <w:r w:rsidRPr="00584E77">
          <w:rPr>
            <w:rStyle w:val="Hyperlink"/>
            <w:color w:val="000000" w:themeColor="text1"/>
            <w:sz w:val="18"/>
            <w:szCs w:val="18"/>
            <w:u w:val="none"/>
          </w:rPr>
          <w:t>thaithvnu@yahoo.com</w:t>
        </w:r>
      </w:hyperlink>
    </w:p>
    <w:p w14:paraId="716D2C67" w14:textId="4150A699" w:rsidR="005D19FF" w:rsidRPr="009C683C" w:rsidRDefault="005D19FF" w:rsidP="003E1EF7">
      <w:pPr>
        <w:pStyle w:val="FootnoteText"/>
        <w:spacing w:before="120"/>
        <w:rPr>
          <w:color w:val="000000" w:themeColor="text1"/>
          <w:sz w:val="18"/>
          <w:szCs w:val="18"/>
        </w:rPr>
      </w:pPr>
      <w:r>
        <w:rPr>
          <w:color w:val="000000"/>
          <w:sz w:val="18"/>
          <w:szCs w:val="18"/>
        </w:rPr>
        <w:t xml:space="preserve">   </w:t>
      </w:r>
      <w:r w:rsidRPr="003D5A09">
        <w:rPr>
          <w:color w:val="000000"/>
          <w:sz w:val="18"/>
          <w:szCs w:val="18"/>
        </w:rPr>
        <w:t>https://doi.org/10.25073/2588-1132/vnumps.4</w:t>
      </w:r>
      <w:r>
        <w:rPr>
          <w:color w:val="000000"/>
          <w:sz w:val="18"/>
          <w:szCs w:val="18"/>
        </w:rPr>
        <w:t>643</w:t>
      </w:r>
    </w:p>
    <w:p w14:paraId="4BC8E639" w14:textId="034B26AE" w:rsidR="005D19FF" w:rsidRPr="002E7DF5" w:rsidRDefault="005D19FF" w:rsidP="009C683C">
      <w:pPr>
        <w:pStyle w:val="HTMLPreformatted"/>
        <w:shd w:val="clear" w:color="auto" w:fill="FFFFFF"/>
        <w:spacing w:before="120"/>
      </w:pPr>
      <w:r>
        <w:rPr>
          <w:rFonts w:ascii="Times New Roman" w:hAnsi="Times New Roman" w:cs="Times New Roman"/>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0B8E" w14:textId="64D14153" w:rsidR="005D19FF" w:rsidRPr="00BB05C9" w:rsidRDefault="005D19FF" w:rsidP="005D19FF">
    <w:pPr>
      <w:framePr w:wrap="around" w:vAnchor="text" w:hAnchor="margin" w:xAlign="outside" w:y="1"/>
    </w:pPr>
    <w:r w:rsidRPr="00BB05C9">
      <w:fldChar w:fldCharType="begin"/>
    </w:r>
    <w:r w:rsidRPr="00BB05C9">
      <w:instrText xml:space="preserve">PAGE  </w:instrText>
    </w:r>
    <w:r w:rsidRPr="00BB05C9">
      <w:fldChar w:fldCharType="separate"/>
    </w:r>
    <w:r>
      <w:rPr>
        <w:noProof/>
      </w:rPr>
      <w:t>2</w:t>
    </w:r>
    <w:r w:rsidRPr="00BB05C9">
      <w:fldChar w:fldCharType="end"/>
    </w:r>
  </w:p>
  <w:p w14:paraId="4E510A78" w14:textId="77777777" w:rsidR="005D19FF" w:rsidRPr="00E43EED" w:rsidRDefault="005D19FF">
    <w:pPr>
      <w:pStyle w:val="titletren"/>
      <w:pBdr>
        <w:bottom w:val="none" w:sz="0" w:space="0" w:color="auto"/>
      </w:pBdr>
      <w:spacing w:after="567"/>
      <w:jc w:val="center"/>
      <w:rPr>
        <w:rFonts w:ascii="Times New Roman" w:hAnsi="Times New Roman"/>
        <w:color w:val="000000"/>
        <w:lang w:val="vi-VN"/>
      </w:rPr>
    </w:pPr>
    <w:r>
      <w:rPr>
        <w:rFonts w:ascii="Times New Roman" w:hAnsi="Times New Roman"/>
        <w:i/>
        <w:iCs/>
        <w:szCs w:val="18"/>
      </w:rPr>
      <w:t>N.T. Lap</w:t>
    </w:r>
    <w:r w:rsidRPr="00E43EED">
      <w:rPr>
        <w:rFonts w:ascii="Times New Roman" w:hAnsi="Times New Roman"/>
        <w:i/>
        <w:iCs/>
        <w:szCs w:val="18"/>
      </w:rPr>
      <w:t xml:space="preserve"> / VNU Journal of Science: </w:t>
    </w:r>
    <w:r w:rsidRPr="007C0B5A">
      <w:rPr>
        <w:rFonts w:ascii="Times New Roman" w:hAnsi="Times New Roman"/>
        <w:i/>
        <w:iCs/>
        <w:szCs w:val="18"/>
      </w:rPr>
      <w:t>Policy and Management Studies</w:t>
    </w:r>
    <w:r w:rsidRPr="00E43EED">
      <w:rPr>
        <w:rFonts w:ascii="Times New Roman" w:hAnsi="Times New Roman"/>
        <w:i/>
        <w:szCs w:val="18"/>
      </w:rPr>
      <w:t>, Vol</w:t>
    </w:r>
    <w:r>
      <w:rPr>
        <w:rFonts w:ascii="Times New Roman" w:hAnsi="Times New Roman"/>
        <w:i/>
        <w:szCs w:val="18"/>
      </w:rPr>
      <w:t>. 35</w:t>
    </w:r>
    <w:r w:rsidRPr="00E43EED">
      <w:rPr>
        <w:rFonts w:ascii="Times New Roman" w:hAnsi="Times New Roman"/>
        <w:i/>
        <w:szCs w:val="18"/>
      </w:rPr>
      <w:t>, No</w:t>
    </w:r>
    <w:r>
      <w:rPr>
        <w:rFonts w:ascii="Times New Roman" w:hAnsi="Times New Roman"/>
        <w:i/>
        <w:szCs w:val="18"/>
      </w:rPr>
      <w:t>. 1 (2019) 1-8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3497E" w14:textId="77777777" w:rsidR="005D19FF" w:rsidRPr="0022609B" w:rsidRDefault="005D19FF" w:rsidP="005D19FF">
    <w:pPr>
      <w:framePr w:wrap="around" w:vAnchor="text" w:hAnchor="margin" w:xAlign="outside" w:y="1"/>
      <w:rPr>
        <w:rFonts w:ascii="Times New Roman" w:hAnsi="Times New Roman" w:cs="Times New Roman"/>
      </w:rPr>
    </w:pPr>
    <w:r w:rsidRPr="0022609B">
      <w:rPr>
        <w:rFonts w:ascii="Times New Roman" w:hAnsi="Times New Roman" w:cs="Times New Roman"/>
      </w:rPr>
      <w:fldChar w:fldCharType="begin"/>
    </w:r>
    <w:r w:rsidRPr="0022609B">
      <w:rPr>
        <w:rFonts w:ascii="Times New Roman" w:hAnsi="Times New Roman" w:cs="Times New Roman"/>
      </w:rPr>
      <w:instrText xml:space="preserve">PAGE  </w:instrText>
    </w:r>
    <w:r w:rsidRPr="0022609B">
      <w:rPr>
        <w:rFonts w:ascii="Times New Roman" w:hAnsi="Times New Roman" w:cs="Times New Roman"/>
      </w:rPr>
      <w:fldChar w:fldCharType="separate"/>
    </w:r>
    <w:r>
      <w:rPr>
        <w:rFonts w:ascii="Times New Roman" w:hAnsi="Times New Roman" w:cs="Times New Roman"/>
        <w:noProof/>
      </w:rPr>
      <w:t>3</w:t>
    </w:r>
    <w:r w:rsidRPr="0022609B">
      <w:rPr>
        <w:rFonts w:ascii="Times New Roman" w:hAnsi="Times New Roman" w:cs="Times New Roman"/>
      </w:rPr>
      <w:fldChar w:fldCharType="end"/>
    </w:r>
  </w:p>
  <w:p w14:paraId="4E973A51" w14:textId="77777777" w:rsidR="005D19FF" w:rsidRPr="00784334" w:rsidRDefault="005D19FF" w:rsidP="005D19FF">
    <w:pPr>
      <w:pStyle w:val="titletren"/>
      <w:pBdr>
        <w:bottom w:val="none" w:sz="0" w:space="0" w:color="auto"/>
      </w:pBdr>
      <w:spacing w:after="567"/>
      <w:jc w:val="center"/>
      <w:rPr>
        <w:rFonts w:ascii="Times New Roman" w:hAnsi="Times New Roman"/>
        <w:lang w:val="vi-VN"/>
      </w:rPr>
    </w:pPr>
    <w:r>
      <w:rPr>
        <w:rFonts w:ascii="Times New Roman" w:hAnsi="Times New Roman"/>
        <w:i/>
        <w:iCs/>
        <w:szCs w:val="18"/>
      </w:rPr>
      <w:t>N.T. Lap</w:t>
    </w:r>
    <w:r w:rsidRPr="00E43EED">
      <w:rPr>
        <w:rFonts w:ascii="Times New Roman" w:hAnsi="Times New Roman"/>
        <w:i/>
        <w:iCs/>
        <w:szCs w:val="18"/>
      </w:rPr>
      <w:t xml:space="preserve"> / VNU Journal of Science: </w:t>
    </w:r>
    <w:r w:rsidRPr="007C0B5A">
      <w:rPr>
        <w:rFonts w:ascii="Times New Roman" w:hAnsi="Times New Roman"/>
        <w:i/>
        <w:iCs/>
        <w:szCs w:val="18"/>
      </w:rPr>
      <w:t>Policy and Management Studies</w:t>
    </w:r>
    <w:r w:rsidRPr="00E43EED">
      <w:rPr>
        <w:rFonts w:ascii="Times New Roman" w:hAnsi="Times New Roman"/>
        <w:i/>
        <w:szCs w:val="18"/>
      </w:rPr>
      <w:t>, Vol</w:t>
    </w:r>
    <w:r>
      <w:rPr>
        <w:rFonts w:ascii="Times New Roman" w:hAnsi="Times New Roman"/>
        <w:i/>
        <w:szCs w:val="18"/>
      </w:rPr>
      <w:t>. 35</w:t>
    </w:r>
    <w:r w:rsidRPr="00E43EED">
      <w:rPr>
        <w:rFonts w:ascii="Times New Roman" w:hAnsi="Times New Roman"/>
        <w:i/>
        <w:szCs w:val="18"/>
      </w:rPr>
      <w:t>, No</w:t>
    </w:r>
    <w:r>
      <w:rPr>
        <w:rFonts w:ascii="Times New Roman" w:hAnsi="Times New Roman"/>
        <w:i/>
        <w:szCs w:val="18"/>
      </w:rPr>
      <w:t>. 2 (2019) 1-8</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DA9B" w14:textId="60208B65" w:rsidR="005D19FF" w:rsidRPr="00584E77" w:rsidRDefault="005D19FF" w:rsidP="00CD0826">
    <w:pPr>
      <w:pStyle w:val="Header"/>
      <w:spacing w:after="240"/>
      <w:jc w:val="center"/>
      <w:rPr>
        <w:color w:val="FFFFFF" w:themeColor="background1"/>
      </w:rPr>
    </w:pPr>
    <w:r w:rsidRPr="002D6703">
      <w:rPr>
        <w:sz w:val="18"/>
        <w:szCs w:val="18"/>
      </w:rPr>
      <w:t xml:space="preserve">VNU Journal of </w:t>
    </w:r>
    <w:r>
      <w:rPr>
        <w:sz w:val="18"/>
        <w:szCs w:val="18"/>
      </w:rPr>
      <w:t>Science: Medical and Pharmaceutical Sciences</w:t>
    </w:r>
    <w:r w:rsidRPr="00584E77">
      <w:rPr>
        <w:color w:val="FFFFFF" w:themeColor="background1"/>
        <w:sz w:val="18"/>
        <w:szCs w:val="18"/>
      </w:rPr>
      <w:t>, Vol. 41, No. 4 (2025) 1-10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9DDD" w14:textId="4A7F0DAF" w:rsidR="005D19FF" w:rsidRPr="005C4F59" w:rsidRDefault="005D19FF" w:rsidP="005D19FF">
    <w:pPr>
      <w:framePr w:wrap="around" w:vAnchor="text" w:hAnchor="margin" w:xAlign="outside" w:y="1"/>
      <w:rPr>
        <w:rFonts w:ascii="Times New Roman" w:hAnsi="Times New Roman" w:cs="Times New Roman"/>
      </w:rPr>
    </w:pPr>
    <w:r w:rsidRPr="005C4F59">
      <w:rPr>
        <w:rFonts w:ascii="Times New Roman" w:hAnsi="Times New Roman" w:cs="Times New Roman"/>
      </w:rPr>
      <w:fldChar w:fldCharType="begin"/>
    </w:r>
    <w:r w:rsidRPr="005C4F59">
      <w:rPr>
        <w:rFonts w:ascii="Times New Roman" w:hAnsi="Times New Roman" w:cs="Times New Roman"/>
      </w:rPr>
      <w:instrText xml:space="preserve">PAGE  </w:instrText>
    </w:r>
    <w:r w:rsidRPr="005C4F59">
      <w:rPr>
        <w:rFonts w:ascii="Times New Roman" w:hAnsi="Times New Roman" w:cs="Times New Roman"/>
      </w:rPr>
      <w:fldChar w:fldCharType="separate"/>
    </w:r>
    <w:r w:rsidR="009B6464">
      <w:rPr>
        <w:rFonts w:ascii="Times New Roman" w:hAnsi="Times New Roman" w:cs="Times New Roman"/>
        <w:noProof/>
      </w:rPr>
      <w:t>2</w:t>
    </w:r>
    <w:r w:rsidRPr="005C4F59">
      <w:rPr>
        <w:rFonts w:ascii="Times New Roman" w:hAnsi="Times New Roman" w:cs="Times New Roman"/>
      </w:rPr>
      <w:fldChar w:fldCharType="end"/>
    </w:r>
  </w:p>
  <w:p w14:paraId="23951223" w14:textId="5B11ACBF" w:rsidR="005D19FF" w:rsidRPr="00584E77" w:rsidRDefault="005D19FF" w:rsidP="00CD0826">
    <w:pPr>
      <w:pStyle w:val="titletren"/>
      <w:pBdr>
        <w:bottom w:val="none" w:sz="0" w:space="0" w:color="auto"/>
      </w:pBdr>
      <w:spacing w:after="567"/>
      <w:jc w:val="center"/>
      <w:rPr>
        <w:rFonts w:ascii="Times New Roman" w:hAnsi="Times New Roman"/>
        <w:color w:val="FFFFFF" w:themeColor="background1"/>
      </w:rPr>
    </w:pPr>
    <w:r>
      <w:rPr>
        <w:rFonts w:ascii="Times New Roman" w:hAnsi="Times New Roman"/>
        <w:i/>
        <w:iCs/>
        <w:szCs w:val="18"/>
      </w:rPr>
      <w:t xml:space="preserve">L. L. Phuong et al. </w:t>
    </w:r>
    <w:r w:rsidRPr="00E43EED">
      <w:rPr>
        <w:rFonts w:ascii="Times New Roman" w:hAnsi="Times New Roman"/>
        <w:i/>
        <w:iCs/>
        <w:szCs w:val="18"/>
      </w:rPr>
      <w:t xml:space="preserve">/ </w:t>
    </w:r>
    <w:r w:rsidRPr="00CD0826">
      <w:rPr>
        <w:rFonts w:ascii="Times New Roman" w:hAnsi="Times New Roman"/>
        <w:i/>
        <w:iCs/>
        <w:szCs w:val="18"/>
      </w:rPr>
      <w:t xml:space="preserve">VNU Journal of Science: </w:t>
    </w:r>
    <w:r w:rsidRPr="005A4DFE">
      <w:rPr>
        <w:rFonts w:ascii="Times New Roman" w:hAnsi="Times New Roman"/>
        <w:i/>
        <w:szCs w:val="18"/>
      </w:rPr>
      <w:t>Medical and Pharmaceutical Sciences</w:t>
    </w:r>
    <w:r w:rsidRPr="00584E77">
      <w:rPr>
        <w:rFonts w:ascii="Times New Roman" w:hAnsi="Times New Roman"/>
        <w:i/>
        <w:color w:val="FFFFFF" w:themeColor="background1"/>
        <w:szCs w:val="18"/>
      </w:rPr>
      <w:t>, Vol. 41, No. 4 (2025) 1-8</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F42F" w14:textId="7CB3BE55" w:rsidR="005D19FF" w:rsidRPr="00863910" w:rsidRDefault="005D19FF" w:rsidP="005D19FF">
    <w:pPr>
      <w:framePr w:wrap="around" w:vAnchor="text" w:hAnchor="margin" w:xAlign="outside" w:y="1"/>
      <w:rPr>
        <w:rFonts w:ascii="Times New Roman" w:hAnsi="Times New Roman" w:cs="Times New Roman"/>
      </w:rPr>
    </w:pPr>
    <w:r w:rsidRPr="00863910">
      <w:rPr>
        <w:rFonts w:ascii="Times New Roman" w:hAnsi="Times New Roman" w:cs="Times New Roman"/>
      </w:rPr>
      <w:fldChar w:fldCharType="begin"/>
    </w:r>
    <w:r w:rsidRPr="00863910">
      <w:rPr>
        <w:rFonts w:ascii="Times New Roman" w:hAnsi="Times New Roman" w:cs="Times New Roman"/>
      </w:rPr>
      <w:instrText xml:space="preserve">PAGE  </w:instrText>
    </w:r>
    <w:r w:rsidRPr="00863910">
      <w:rPr>
        <w:rFonts w:ascii="Times New Roman" w:hAnsi="Times New Roman" w:cs="Times New Roman"/>
      </w:rPr>
      <w:fldChar w:fldCharType="separate"/>
    </w:r>
    <w:r w:rsidR="009B6464">
      <w:rPr>
        <w:rFonts w:ascii="Times New Roman" w:hAnsi="Times New Roman" w:cs="Times New Roman"/>
        <w:noProof/>
      </w:rPr>
      <w:t>7</w:t>
    </w:r>
    <w:r w:rsidRPr="00863910">
      <w:rPr>
        <w:rFonts w:ascii="Times New Roman" w:hAnsi="Times New Roman" w:cs="Times New Roman"/>
      </w:rPr>
      <w:fldChar w:fldCharType="end"/>
    </w:r>
  </w:p>
  <w:p w14:paraId="4B025F41" w14:textId="00EDCE99" w:rsidR="005D19FF" w:rsidRPr="007C322B" w:rsidRDefault="005D19FF" w:rsidP="005D19FF">
    <w:pPr>
      <w:pStyle w:val="titletren"/>
      <w:pBdr>
        <w:bottom w:val="none" w:sz="0" w:space="0" w:color="auto"/>
      </w:pBdr>
      <w:spacing w:after="567"/>
      <w:jc w:val="center"/>
      <w:rPr>
        <w:rFonts w:ascii="Times New Roman" w:hAnsi="Times New Roman"/>
      </w:rPr>
    </w:pPr>
    <w:r>
      <w:rPr>
        <w:rFonts w:ascii="Times New Roman" w:hAnsi="Times New Roman"/>
        <w:i/>
        <w:iCs/>
        <w:szCs w:val="18"/>
      </w:rPr>
      <w:t xml:space="preserve">L. L. Phuong et al. / </w:t>
    </w:r>
    <w:r w:rsidRPr="00CD0826">
      <w:rPr>
        <w:rFonts w:ascii="Times New Roman" w:hAnsi="Times New Roman"/>
        <w:i/>
        <w:iCs/>
        <w:szCs w:val="18"/>
      </w:rPr>
      <w:t xml:space="preserve">VNU Journal of Science: </w:t>
    </w:r>
    <w:r w:rsidRPr="005A4DFE">
      <w:rPr>
        <w:rFonts w:ascii="Times New Roman" w:hAnsi="Times New Roman"/>
        <w:i/>
        <w:szCs w:val="18"/>
      </w:rPr>
      <w:t>Medical and Pharmaceutical Sciences</w:t>
    </w:r>
    <w:r w:rsidRPr="00CD0826">
      <w:rPr>
        <w:rFonts w:ascii="Times New Roman" w:hAnsi="Times New Roman"/>
        <w:i/>
        <w:szCs w:val="18"/>
      </w:rPr>
      <w:t>,</w:t>
    </w:r>
    <w:r w:rsidRPr="00E43EED">
      <w:rPr>
        <w:rFonts w:ascii="Times New Roman" w:hAnsi="Times New Roman"/>
        <w:i/>
        <w:szCs w:val="18"/>
      </w:rPr>
      <w:t xml:space="preserve"> Vol</w:t>
    </w:r>
    <w:r>
      <w:rPr>
        <w:rFonts w:ascii="Times New Roman" w:hAnsi="Times New Roman"/>
        <w:i/>
        <w:szCs w:val="18"/>
      </w:rPr>
      <w:t>. 41</w:t>
    </w:r>
    <w:r w:rsidRPr="00E43EED">
      <w:rPr>
        <w:rFonts w:ascii="Times New Roman" w:hAnsi="Times New Roman"/>
        <w:i/>
        <w:szCs w:val="18"/>
      </w:rPr>
      <w:t>, No</w:t>
    </w:r>
    <w:r>
      <w:rPr>
        <w:rFonts w:ascii="Times New Roman" w:hAnsi="Times New Roman"/>
        <w:i/>
        <w:szCs w:val="18"/>
      </w:rPr>
      <w:t>. 4 (2025) 1-8</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112A" w14:textId="77777777" w:rsidR="005D19FF" w:rsidRPr="007C322B" w:rsidRDefault="005D19FF" w:rsidP="00CD0826">
    <w:pPr>
      <w:pStyle w:val="Header"/>
      <w:spacing w:after="240"/>
      <w:jc w:val="center"/>
    </w:pPr>
    <w:r w:rsidRPr="002D6703">
      <w:rPr>
        <w:sz w:val="18"/>
        <w:szCs w:val="18"/>
      </w:rPr>
      <w:t xml:space="preserve">VNU Journal of </w:t>
    </w:r>
    <w:r>
      <w:rPr>
        <w:sz w:val="18"/>
        <w:szCs w:val="18"/>
      </w:rPr>
      <w:t>Science: Medical and Pharmaceutical Sciences, Vol. 36, No. 2 (2020</w:t>
    </w:r>
    <w:r w:rsidRPr="002D6703">
      <w:rPr>
        <w:sz w:val="18"/>
        <w:szCs w:val="18"/>
      </w:rPr>
      <w:t xml:space="preserve">) </w:t>
    </w:r>
    <w:r>
      <w:rPr>
        <w:sz w:val="18"/>
        <w:szCs w:val="18"/>
      </w:rPr>
      <w:t>1-10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1CC0"/>
    <w:multiLevelType w:val="multilevel"/>
    <w:tmpl w:val="339C5262"/>
    <w:lvl w:ilvl="0">
      <w:start w:val="1"/>
      <w:numFmt w:val="decimal"/>
      <w:pStyle w:val="TLT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220D3F"/>
    <w:multiLevelType w:val="hybridMultilevel"/>
    <w:tmpl w:val="F77C08B6"/>
    <w:lvl w:ilvl="0" w:tplc="68CE47A8">
      <w:start w:val="1"/>
      <w:numFmt w:val="decimal"/>
      <w:pStyle w:val="tailituthamkhao-CRTL4"/>
      <w:lvlText w:val="[%1]"/>
      <w:lvlJc w:val="right"/>
      <w:pPr>
        <w:tabs>
          <w:tab w:val="num" w:pos="113"/>
        </w:tabs>
        <w:ind w:left="113" w:hanging="113"/>
      </w:pPr>
      <w:rPr>
        <w:rFonts w:ascii="Times New Roman" w:hAnsi="Times New Roman" w:hint="default"/>
        <w:b w:val="0"/>
        <w:i w:val="0"/>
        <w:sz w:val="19"/>
        <w:szCs w:val="19"/>
      </w:rPr>
    </w:lvl>
    <w:lvl w:ilvl="1" w:tplc="04090019" w:tentative="1">
      <w:start w:val="1"/>
      <w:numFmt w:val="lowerLetter"/>
      <w:lvlText w:val="%2."/>
      <w:lvlJc w:val="left"/>
      <w:pPr>
        <w:tabs>
          <w:tab w:val="num" w:pos="-971"/>
        </w:tabs>
        <w:ind w:left="-971" w:hanging="360"/>
      </w:pPr>
    </w:lvl>
    <w:lvl w:ilvl="2" w:tplc="0409001B" w:tentative="1">
      <w:start w:val="1"/>
      <w:numFmt w:val="lowerRoman"/>
      <w:lvlText w:val="%3."/>
      <w:lvlJc w:val="right"/>
      <w:pPr>
        <w:tabs>
          <w:tab w:val="num" w:pos="-251"/>
        </w:tabs>
        <w:ind w:left="-251" w:hanging="180"/>
      </w:pPr>
    </w:lvl>
    <w:lvl w:ilvl="3" w:tplc="0409000F" w:tentative="1">
      <w:start w:val="1"/>
      <w:numFmt w:val="decimal"/>
      <w:lvlText w:val="%4."/>
      <w:lvlJc w:val="left"/>
      <w:pPr>
        <w:tabs>
          <w:tab w:val="num" w:pos="469"/>
        </w:tabs>
        <w:ind w:left="469" w:hanging="360"/>
      </w:pPr>
    </w:lvl>
    <w:lvl w:ilvl="4" w:tplc="04090019" w:tentative="1">
      <w:start w:val="1"/>
      <w:numFmt w:val="lowerLetter"/>
      <w:lvlText w:val="%5."/>
      <w:lvlJc w:val="left"/>
      <w:pPr>
        <w:tabs>
          <w:tab w:val="num" w:pos="1189"/>
        </w:tabs>
        <w:ind w:left="1189" w:hanging="360"/>
      </w:pPr>
    </w:lvl>
    <w:lvl w:ilvl="5" w:tplc="0409001B" w:tentative="1">
      <w:start w:val="1"/>
      <w:numFmt w:val="lowerRoman"/>
      <w:lvlText w:val="%6."/>
      <w:lvlJc w:val="right"/>
      <w:pPr>
        <w:tabs>
          <w:tab w:val="num" w:pos="1909"/>
        </w:tabs>
        <w:ind w:left="1909" w:hanging="180"/>
      </w:pPr>
    </w:lvl>
    <w:lvl w:ilvl="6" w:tplc="0409000F" w:tentative="1">
      <w:start w:val="1"/>
      <w:numFmt w:val="decimal"/>
      <w:lvlText w:val="%7."/>
      <w:lvlJc w:val="left"/>
      <w:pPr>
        <w:tabs>
          <w:tab w:val="num" w:pos="2629"/>
        </w:tabs>
        <w:ind w:left="2629" w:hanging="360"/>
      </w:pPr>
    </w:lvl>
    <w:lvl w:ilvl="7" w:tplc="04090019" w:tentative="1">
      <w:start w:val="1"/>
      <w:numFmt w:val="lowerLetter"/>
      <w:lvlText w:val="%8."/>
      <w:lvlJc w:val="left"/>
      <w:pPr>
        <w:tabs>
          <w:tab w:val="num" w:pos="3349"/>
        </w:tabs>
        <w:ind w:left="3349" w:hanging="360"/>
      </w:pPr>
    </w:lvl>
    <w:lvl w:ilvl="8" w:tplc="0409001B" w:tentative="1">
      <w:start w:val="1"/>
      <w:numFmt w:val="lowerRoman"/>
      <w:lvlText w:val="%9."/>
      <w:lvlJc w:val="right"/>
      <w:pPr>
        <w:tabs>
          <w:tab w:val="num" w:pos="4069"/>
        </w:tabs>
        <w:ind w:left="4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10"/>
    <w:rsid w:val="00016D5F"/>
    <w:rsid w:val="00052CCB"/>
    <w:rsid w:val="00054644"/>
    <w:rsid w:val="00072C09"/>
    <w:rsid w:val="00080BC7"/>
    <w:rsid w:val="0009450B"/>
    <w:rsid w:val="000C7E70"/>
    <w:rsid w:val="000D0A55"/>
    <w:rsid w:val="000D46B7"/>
    <w:rsid w:val="000E0D97"/>
    <w:rsid w:val="000E59D9"/>
    <w:rsid w:val="00100A81"/>
    <w:rsid w:val="00101F7B"/>
    <w:rsid w:val="00141A69"/>
    <w:rsid w:val="00152667"/>
    <w:rsid w:val="001A7BEA"/>
    <w:rsid w:val="001C4689"/>
    <w:rsid w:val="001D3623"/>
    <w:rsid w:val="001E1711"/>
    <w:rsid w:val="001E7634"/>
    <w:rsid w:val="00201C56"/>
    <w:rsid w:val="00206EE5"/>
    <w:rsid w:val="0022609B"/>
    <w:rsid w:val="00235C5C"/>
    <w:rsid w:val="0023715E"/>
    <w:rsid w:val="0025211C"/>
    <w:rsid w:val="00263218"/>
    <w:rsid w:val="00280A03"/>
    <w:rsid w:val="002869F7"/>
    <w:rsid w:val="002953A1"/>
    <w:rsid w:val="002A0F42"/>
    <w:rsid w:val="002B5933"/>
    <w:rsid w:val="002B731D"/>
    <w:rsid w:val="002C2BF5"/>
    <w:rsid w:val="00327A7E"/>
    <w:rsid w:val="00346268"/>
    <w:rsid w:val="0035078C"/>
    <w:rsid w:val="0036180A"/>
    <w:rsid w:val="0036287F"/>
    <w:rsid w:val="00373E62"/>
    <w:rsid w:val="003831B2"/>
    <w:rsid w:val="0038609B"/>
    <w:rsid w:val="003C35AC"/>
    <w:rsid w:val="003D1B8B"/>
    <w:rsid w:val="003D1C4B"/>
    <w:rsid w:val="003D39BA"/>
    <w:rsid w:val="003E1EF7"/>
    <w:rsid w:val="003E57FE"/>
    <w:rsid w:val="0040149F"/>
    <w:rsid w:val="00447FB5"/>
    <w:rsid w:val="00452B21"/>
    <w:rsid w:val="004670D5"/>
    <w:rsid w:val="00487CFC"/>
    <w:rsid w:val="00490512"/>
    <w:rsid w:val="0049174F"/>
    <w:rsid w:val="004B0AB2"/>
    <w:rsid w:val="004C4592"/>
    <w:rsid w:val="004D033D"/>
    <w:rsid w:val="004D0621"/>
    <w:rsid w:val="004D3C46"/>
    <w:rsid w:val="004E39BA"/>
    <w:rsid w:val="00502C68"/>
    <w:rsid w:val="00527C13"/>
    <w:rsid w:val="0053152E"/>
    <w:rsid w:val="0054091F"/>
    <w:rsid w:val="00542874"/>
    <w:rsid w:val="00546F75"/>
    <w:rsid w:val="00562D81"/>
    <w:rsid w:val="00571B99"/>
    <w:rsid w:val="00584E77"/>
    <w:rsid w:val="00595097"/>
    <w:rsid w:val="005A4DFE"/>
    <w:rsid w:val="005A565F"/>
    <w:rsid w:val="005B2074"/>
    <w:rsid w:val="005C4266"/>
    <w:rsid w:val="005C4F59"/>
    <w:rsid w:val="005D19FF"/>
    <w:rsid w:val="005D1B79"/>
    <w:rsid w:val="005E2B98"/>
    <w:rsid w:val="005E4A54"/>
    <w:rsid w:val="00604BAC"/>
    <w:rsid w:val="00624145"/>
    <w:rsid w:val="00632004"/>
    <w:rsid w:val="00651290"/>
    <w:rsid w:val="006572C7"/>
    <w:rsid w:val="00657CB3"/>
    <w:rsid w:val="0067698F"/>
    <w:rsid w:val="00685692"/>
    <w:rsid w:val="00693EB4"/>
    <w:rsid w:val="00694AB9"/>
    <w:rsid w:val="006A206D"/>
    <w:rsid w:val="006A4B05"/>
    <w:rsid w:val="006C1B65"/>
    <w:rsid w:val="006C4796"/>
    <w:rsid w:val="006C7ADF"/>
    <w:rsid w:val="006F6D4A"/>
    <w:rsid w:val="007230F1"/>
    <w:rsid w:val="00726B76"/>
    <w:rsid w:val="0072770C"/>
    <w:rsid w:val="00756A9B"/>
    <w:rsid w:val="00775767"/>
    <w:rsid w:val="007866FA"/>
    <w:rsid w:val="007B3C88"/>
    <w:rsid w:val="007C0B5A"/>
    <w:rsid w:val="007E284C"/>
    <w:rsid w:val="00814E8B"/>
    <w:rsid w:val="0084719E"/>
    <w:rsid w:val="00863910"/>
    <w:rsid w:val="0088593D"/>
    <w:rsid w:val="00894EF5"/>
    <w:rsid w:val="008B444E"/>
    <w:rsid w:val="008C041A"/>
    <w:rsid w:val="008D2092"/>
    <w:rsid w:val="008E4A54"/>
    <w:rsid w:val="008E5570"/>
    <w:rsid w:val="00944DE1"/>
    <w:rsid w:val="00946408"/>
    <w:rsid w:val="00956FD3"/>
    <w:rsid w:val="00977656"/>
    <w:rsid w:val="00997D32"/>
    <w:rsid w:val="009B6464"/>
    <w:rsid w:val="009C683C"/>
    <w:rsid w:val="009E5621"/>
    <w:rsid w:val="009F2D1E"/>
    <w:rsid w:val="009F6A14"/>
    <w:rsid w:val="00A00F55"/>
    <w:rsid w:val="00A02E3F"/>
    <w:rsid w:val="00A03A42"/>
    <w:rsid w:val="00A41F50"/>
    <w:rsid w:val="00A52BDA"/>
    <w:rsid w:val="00A60A5F"/>
    <w:rsid w:val="00A640B1"/>
    <w:rsid w:val="00A70746"/>
    <w:rsid w:val="00A92D47"/>
    <w:rsid w:val="00A9414C"/>
    <w:rsid w:val="00AA1C8F"/>
    <w:rsid w:val="00AA4EDA"/>
    <w:rsid w:val="00AC1D73"/>
    <w:rsid w:val="00AD5866"/>
    <w:rsid w:val="00AE1BF1"/>
    <w:rsid w:val="00AE2FFC"/>
    <w:rsid w:val="00AF0300"/>
    <w:rsid w:val="00AF1BA7"/>
    <w:rsid w:val="00AF28CD"/>
    <w:rsid w:val="00B04BD4"/>
    <w:rsid w:val="00B077B1"/>
    <w:rsid w:val="00B13808"/>
    <w:rsid w:val="00B478DF"/>
    <w:rsid w:val="00B54AB5"/>
    <w:rsid w:val="00B54C38"/>
    <w:rsid w:val="00B568C2"/>
    <w:rsid w:val="00B620D4"/>
    <w:rsid w:val="00B824EE"/>
    <w:rsid w:val="00B85862"/>
    <w:rsid w:val="00BA2648"/>
    <w:rsid w:val="00BB4E0E"/>
    <w:rsid w:val="00BC14D6"/>
    <w:rsid w:val="00BD1401"/>
    <w:rsid w:val="00BF7879"/>
    <w:rsid w:val="00C3103C"/>
    <w:rsid w:val="00C414AC"/>
    <w:rsid w:val="00C53F99"/>
    <w:rsid w:val="00CA7730"/>
    <w:rsid w:val="00CD0826"/>
    <w:rsid w:val="00CD639A"/>
    <w:rsid w:val="00CF10EB"/>
    <w:rsid w:val="00CF3F56"/>
    <w:rsid w:val="00D548F6"/>
    <w:rsid w:val="00D64F67"/>
    <w:rsid w:val="00D870A7"/>
    <w:rsid w:val="00DA2ABD"/>
    <w:rsid w:val="00DA41DD"/>
    <w:rsid w:val="00DE6A22"/>
    <w:rsid w:val="00DF7CCB"/>
    <w:rsid w:val="00E02F89"/>
    <w:rsid w:val="00E031B3"/>
    <w:rsid w:val="00E0533E"/>
    <w:rsid w:val="00E43266"/>
    <w:rsid w:val="00E757D8"/>
    <w:rsid w:val="00E83AB5"/>
    <w:rsid w:val="00ED3885"/>
    <w:rsid w:val="00ED614C"/>
    <w:rsid w:val="00ED737B"/>
    <w:rsid w:val="00EE7FC8"/>
    <w:rsid w:val="00EF0553"/>
    <w:rsid w:val="00EF20C5"/>
    <w:rsid w:val="00F00873"/>
    <w:rsid w:val="00F03133"/>
    <w:rsid w:val="00F27AE5"/>
    <w:rsid w:val="00F311B6"/>
    <w:rsid w:val="00F32FA2"/>
    <w:rsid w:val="00F34FE7"/>
    <w:rsid w:val="00F3553B"/>
    <w:rsid w:val="00F3558B"/>
    <w:rsid w:val="00F50018"/>
    <w:rsid w:val="00F854C4"/>
    <w:rsid w:val="00F9076A"/>
    <w:rsid w:val="00F9589C"/>
    <w:rsid w:val="00FA245E"/>
    <w:rsid w:val="00FD44A3"/>
    <w:rsid w:val="00FD7312"/>
    <w:rsid w:val="00FF2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281C8"/>
  <w15:chartTrackingRefBased/>
  <w15:docId w15:val="{05D830E8-619D-4867-839B-B919937B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39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C04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86391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910"/>
    <w:rPr>
      <w:rFonts w:ascii="Times New Roman" w:eastAsia="Times New Roman" w:hAnsi="Times New Roman" w:cs="Times New Roman"/>
      <w:sz w:val="24"/>
      <w:szCs w:val="24"/>
    </w:rPr>
  </w:style>
  <w:style w:type="paragraph" w:customStyle="1" w:styleId="titletren">
    <w:name w:val="title tren"/>
    <w:basedOn w:val="Normal"/>
    <w:rsid w:val="00863910"/>
    <w:pPr>
      <w:pBdr>
        <w:bottom w:val="single" w:sz="4" w:space="1" w:color="auto"/>
      </w:pBdr>
      <w:tabs>
        <w:tab w:val="center" w:pos="4320"/>
        <w:tab w:val="right" w:pos="8640"/>
      </w:tabs>
      <w:spacing w:after="560" w:line="240" w:lineRule="auto"/>
    </w:pPr>
    <w:rPr>
      <w:rFonts w:ascii=".VnTime" w:eastAsia="Times New Roman" w:hAnsi=".VnTime" w:cs="Times New Roman"/>
      <w:sz w:val="18"/>
      <w:szCs w:val="20"/>
    </w:rPr>
  </w:style>
  <w:style w:type="paragraph" w:styleId="Footer">
    <w:name w:val="footer"/>
    <w:basedOn w:val="Normal"/>
    <w:link w:val="FooterChar"/>
    <w:uiPriority w:val="99"/>
    <w:rsid w:val="008639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63910"/>
    <w:rPr>
      <w:rFonts w:ascii="Times New Roman" w:eastAsia="Times New Roman" w:hAnsi="Times New Roman" w:cs="Times New Roman"/>
      <w:sz w:val="24"/>
      <w:szCs w:val="24"/>
    </w:rPr>
  </w:style>
  <w:style w:type="paragraph" w:customStyle="1" w:styleId="1">
    <w:name w:val="1"/>
    <w:aliases w:val="(F5)new"/>
    <w:basedOn w:val="Normal"/>
    <w:rsid w:val="00863910"/>
    <w:pPr>
      <w:keepNext/>
      <w:spacing w:before="567" w:after="284" w:line="240" w:lineRule="auto"/>
      <w:jc w:val="both"/>
      <w:outlineLvl w:val="6"/>
    </w:pPr>
    <w:rPr>
      <w:rFonts w:ascii="Times New Roman" w:eastAsia="Times New Roman" w:hAnsi="Times New Roman" w:cs="Times New Roman"/>
      <w:b/>
      <w:bCs/>
    </w:rPr>
  </w:style>
  <w:style w:type="character" w:styleId="Hyperlink">
    <w:name w:val="Hyperlink"/>
    <w:rsid w:val="00863910"/>
    <w:rPr>
      <w:color w:val="0000FF"/>
      <w:u w:val="single"/>
      <w:lang w:val="en-US" w:eastAsia="en-US" w:bidi="ar-SA"/>
    </w:rPr>
  </w:style>
  <w:style w:type="paragraph" w:styleId="FootnoteText">
    <w:name w:val="footnote text"/>
    <w:aliases w:val="footnote,Footnote Text Char Char Char Char Char,Footnote Text Char Char Char Char Char Char Ch,Car Car Car Car,Car Car Car,Car,Car Car,single space,fn Char Char Char,ft,Nbpage Moens,Fußnote,註腳文字 字元,Footnote Text Char Char Char,Char9,fn"/>
    <w:basedOn w:val="Normal"/>
    <w:link w:val="FootnoteTextChar"/>
    <w:uiPriority w:val="99"/>
    <w:rsid w:val="0086391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Char Char Char Char Char Char,Footnote Text Char Char Char Char Char Char Ch Char,Car Car Car Car Char,Car Car Car Char,Car Char,Car Car Char,single space Char,fn Char Char Char Char,ft Char,Fußnote Char"/>
    <w:basedOn w:val="DefaultParagraphFont"/>
    <w:link w:val="FootnoteText"/>
    <w:uiPriority w:val="99"/>
    <w:rsid w:val="00863910"/>
    <w:rPr>
      <w:rFonts w:ascii="Times New Roman" w:eastAsia="Times New Roman" w:hAnsi="Times New Roman" w:cs="Times New Roman"/>
      <w:sz w:val="20"/>
      <w:szCs w:val="20"/>
    </w:rPr>
  </w:style>
  <w:style w:type="character" w:styleId="FootnoteReference">
    <w:name w:val="footnote reference"/>
    <w:uiPriority w:val="99"/>
    <w:rsid w:val="00863910"/>
    <w:rPr>
      <w:vertAlign w:val="superscript"/>
      <w:lang w:val="en-US" w:eastAsia="en-US" w:bidi="ar-SA"/>
    </w:rPr>
  </w:style>
  <w:style w:type="character" w:styleId="PageNumber">
    <w:name w:val="page number"/>
    <w:basedOn w:val="DefaultParagraphFont"/>
    <w:rsid w:val="00863910"/>
    <w:rPr>
      <w:lang w:val="en-US" w:eastAsia="en-US" w:bidi="ar-SA"/>
    </w:rPr>
  </w:style>
  <w:style w:type="paragraph" w:styleId="HTMLPreformatted">
    <w:name w:val="HTML Preformatted"/>
    <w:basedOn w:val="Normal"/>
    <w:link w:val="HTMLPreformattedChar"/>
    <w:uiPriority w:val="99"/>
    <w:rsid w:val="00863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rsid w:val="00863910"/>
    <w:rPr>
      <w:rFonts w:ascii="Courier New" w:eastAsia="Times New Roman" w:hAnsi="Courier New" w:cs="Courier New"/>
      <w:sz w:val="24"/>
      <w:szCs w:val="24"/>
    </w:rPr>
  </w:style>
  <w:style w:type="paragraph" w:customStyle="1" w:styleId="ACHTCGI-F10">
    <w:name w:val="ĐỊA CHỈ TÁC GIẢ -F10"/>
    <w:basedOn w:val="Normal"/>
    <w:autoRedefine/>
    <w:qFormat/>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TONBIF2new">
    <w:name w:val="TOÀN BÀI (F2)new"/>
    <w:basedOn w:val="Normal"/>
    <w:link w:val="TONBIF2newCharChar"/>
    <w:rsid w:val="00863910"/>
    <w:pPr>
      <w:spacing w:before="60" w:after="60" w:line="290" w:lineRule="atLeast"/>
      <w:ind w:firstLine="340"/>
      <w:jc w:val="both"/>
    </w:pPr>
    <w:rPr>
      <w:rFonts w:ascii="Times New Roman" w:eastAsia="Times New Roman" w:hAnsi="Times New Roman" w:cs="Times New Roman"/>
    </w:rPr>
  </w:style>
  <w:style w:type="character" w:customStyle="1" w:styleId="TONBIF2newCharChar">
    <w:name w:val="TOÀN BÀI (F2)new Char Char"/>
    <w:link w:val="TONBIF2new"/>
    <w:rsid w:val="00863910"/>
    <w:rPr>
      <w:rFonts w:ascii="Times New Roman" w:eastAsia="Times New Roman" w:hAnsi="Times New Roman" w:cs="Times New Roman"/>
    </w:rPr>
  </w:style>
  <w:style w:type="paragraph" w:customStyle="1" w:styleId="trinhbayTLTKctrl4">
    <w:name w:val="trinh bay TLTK (ctrl+4)"/>
    <w:basedOn w:val="Normal"/>
    <w:rsid w:val="00863910"/>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noidung-F2">
    <w:name w:val="noidung-F2"/>
    <w:basedOn w:val="Normal"/>
    <w:autoRedefine/>
    <w:qFormat/>
    <w:rsid w:val="00BD1401"/>
    <w:pPr>
      <w:spacing w:after="0" w:line="240" w:lineRule="auto"/>
      <w:ind w:firstLine="340"/>
      <w:jc w:val="both"/>
    </w:pPr>
    <w:rPr>
      <w:rFonts w:ascii="Times New Roman" w:eastAsia="Times New Roman" w:hAnsi="Times New Roman" w:cs="Times New Roman"/>
    </w:rPr>
  </w:style>
  <w:style w:type="paragraph" w:customStyle="1" w:styleId="achtg">
    <w:name w:val="địa chỉ tg"/>
    <w:basedOn w:val="Normal"/>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mtln">
    <w:name w:val="một lớn"/>
    <w:basedOn w:val="Normal"/>
    <w:autoRedefine/>
    <w:rsid w:val="00863910"/>
    <w:pPr>
      <w:keepNext/>
      <w:spacing w:before="567" w:after="284" w:line="240" w:lineRule="auto"/>
      <w:jc w:val="both"/>
      <w:outlineLvl w:val="6"/>
    </w:pPr>
    <w:rPr>
      <w:rFonts w:ascii="Times New Roman" w:eastAsia="Times New Roman" w:hAnsi="Times New Roman" w:cs="Times New Roman"/>
      <w:b/>
      <w:bCs/>
    </w:rPr>
  </w:style>
  <w:style w:type="paragraph" w:customStyle="1" w:styleId="TENBAI1">
    <w:name w:val="TEN BAI 1"/>
    <w:basedOn w:val="Normal"/>
    <w:autoRedefine/>
    <w:qFormat/>
    <w:rsid w:val="00863910"/>
    <w:pPr>
      <w:spacing w:before="120" w:after="0" w:line="240" w:lineRule="auto"/>
      <w:jc w:val="center"/>
    </w:pPr>
    <w:rPr>
      <w:rFonts w:ascii="Times New Roman" w:eastAsia="Times New Roman" w:hAnsi="Times New Roman" w:cs="Times New Roman"/>
      <w:bCs/>
      <w:sz w:val="36"/>
      <w:szCs w:val="36"/>
    </w:rPr>
  </w:style>
  <w:style w:type="paragraph" w:customStyle="1" w:styleId="NOIDUNG1">
    <w:name w:val="NOI DUNG 1"/>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paragraph" w:customStyle="1" w:styleId="TLTK">
    <w:name w:val="TLTK"/>
    <w:basedOn w:val="Normal"/>
    <w:autoRedefine/>
    <w:qFormat/>
    <w:rsid w:val="00863910"/>
    <w:pPr>
      <w:numPr>
        <w:numId w:val="2"/>
      </w:numPr>
      <w:spacing w:before="40" w:after="0" w:line="240" w:lineRule="auto"/>
      <w:jc w:val="both"/>
    </w:pPr>
    <w:rPr>
      <w:rFonts w:ascii="Times New Roman" w:eastAsia="Times New Roman" w:hAnsi="Times New Roman" w:cs="Times New Roman"/>
      <w:sz w:val="19"/>
      <w:szCs w:val="19"/>
      <w:lang w:val="vi-VN"/>
    </w:rPr>
  </w:style>
  <w:style w:type="paragraph" w:customStyle="1" w:styleId="TLTK1new">
    <w:name w:val="TLTK1new"/>
    <w:basedOn w:val="Normal"/>
    <w:autoRedefine/>
    <w:qFormat/>
    <w:rsid w:val="00863910"/>
    <w:pPr>
      <w:tabs>
        <w:tab w:val="num" w:pos="720"/>
      </w:tabs>
      <w:spacing w:before="40" w:after="0" w:line="240" w:lineRule="auto"/>
      <w:ind w:left="720" w:hanging="720"/>
      <w:jc w:val="both"/>
    </w:pPr>
    <w:rPr>
      <w:rFonts w:ascii="Times New Roman" w:eastAsia="Times New Roman" w:hAnsi="Times New Roman" w:cs="Times New Roman"/>
      <w:sz w:val="19"/>
      <w:szCs w:val="19"/>
      <w:lang w:val="vi-VN"/>
    </w:rPr>
  </w:style>
  <w:style w:type="paragraph" w:customStyle="1" w:styleId="tenbai2">
    <w:name w:val="tenbai2"/>
    <w:basedOn w:val="Normal"/>
    <w:autoRedefine/>
    <w:qFormat/>
    <w:rsid w:val="006A206D"/>
    <w:pPr>
      <w:spacing w:before="120" w:after="0" w:line="240" w:lineRule="auto"/>
      <w:jc w:val="center"/>
    </w:pPr>
    <w:rPr>
      <w:rFonts w:ascii="Times New Roman" w:eastAsia="Times New Roman" w:hAnsi="Times New Roman" w:cs="Times New Roman"/>
      <w:bCs/>
      <w:sz w:val="36"/>
      <w:szCs w:val="36"/>
    </w:rPr>
  </w:style>
  <w:style w:type="paragraph" w:customStyle="1" w:styleId="tentacgia2">
    <w:name w:val="tentacgia2"/>
    <w:basedOn w:val="Normal"/>
    <w:autoRedefine/>
    <w:qFormat/>
    <w:rsid w:val="00863910"/>
    <w:pPr>
      <w:keepNext/>
      <w:spacing w:before="510" w:after="170" w:line="240" w:lineRule="auto"/>
      <w:jc w:val="center"/>
      <w:outlineLvl w:val="1"/>
    </w:pPr>
    <w:rPr>
      <w:rFonts w:ascii="Times New Roman" w:eastAsia="Times New Roman" w:hAnsi="Times New Roman" w:cs="Times New Roman"/>
      <w:bCs/>
      <w:sz w:val="27"/>
      <w:szCs w:val="27"/>
    </w:rPr>
  </w:style>
  <w:style w:type="paragraph" w:customStyle="1" w:styleId="diachitg2">
    <w:name w:val="diachitg2"/>
    <w:basedOn w:val="Normal"/>
    <w:autoRedefine/>
    <w:qFormat/>
    <w:rsid w:val="00863910"/>
    <w:pPr>
      <w:keepNext/>
      <w:spacing w:after="60" w:line="240" w:lineRule="auto"/>
      <w:jc w:val="center"/>
      <w:outlineLvl w:val="0"/>
    </w:pPr>
    <w:rPr>
      <w:rFonts w:ascii="Times New Roman" w:eastAsia="Times New Roman" w:hAnsi="Times New Roman" w:cs="Times New Roman"/>
      <w:i/>
      <w:iCs/>
      <w:sz w:val="21"/>
      <w:szCs w:val="21"/>
    </w:rPr>
  </w:style>
  <w:style w:type="paragraph" w:customStyle="1" w:styleId="nn2">
    <w:name w:val="nn2"/>
    <w:basedOn w:val="Normal"/>
    <w:autoRedefine/>
    <w:qFormat/>
    <w:rsid w:val="00863910"/>
    <w:pPr>
      <w:spacing w:before="200" w:after="560" w:line="240" w:lineRule="auto"/>
      <w:jc w:val="center"/>
    </w:pPr>
    <w:rPr>
      <w:rFonts w:ascii="Times New Roman" w:eastAsia="Times New Roman" w:hAnsi="Times New Roman" w:cs="Times New Roman"/>
      <w:sz w:val="20"/>
      <w:szCs w:val="20"/>
      <w:lang w:val="de-DE"/>
    </w:rPr>
  </w:style>
  <w:style w:type="paragraph" w:customStyle="1" w:styleId="tomtat2">
    <w:name w:val="tomtat2"/>
    <w:basedOn w:val="Normal"/>
    <w:autoRedefine/>
    <w:qFormat/>
    <w:rsid w:val="00863910"/>
    <w:pPr>
      <w:keepNext/>
      <w:spacing w:after="60" w:line="240" w:lineRule="auto"/>
      <w:ind w:left="567" w:right="567"/>
      <w:jc w:val="both"/>
      <w:outlineLvl w:val="1"/>
    </w:pPr>
    <w:rPr>
      <w:rFonts w:ascii="Times New Roman" w:eastAsia="Times New Roman" w:hAnsi="Times New Roman" w:cs="Times New Roman"/>
      <w:bCs/>
      <w:sz w:val="20"/>
      <w:szCs w:val="20"/>
    </w:rPr>
  </w:style>
  <w:style w:type="paragraph" w:customStyle="1" w:styleId="tieude1">
    <w:name w:val="tieude1"/>
    <w:basedOn w:val="Normal"/>
    <w:autoRedefine/>
    <w:qFormat/>
    <w:rsid w:val="00863910"/>
    <w:pPr>
      <w:keepNext/>
      <w:spacing w:before="480" w:after="200" w:line="240" w:lineRule="auto"/>
      <w:jc w:val="both"/>
      <w:outlineLvl w:val="6"/>
    </w:pPr>
    <w:rPr>
      <w:rFonts w:ascii="Times New Roman" w:eastAsia="Times New Roman" w:hAnsi="Times New Roman" w:cs="Times New Roman"/>
      <w:b/>
      <w:bCs/>
    </w:rPr>
  </w:style>
  <w:style w:type="paragraph" w:customStyle="1" w:styleId="tenbang2">
    <w:name w:val="tenbang2"/>
    <w:basedOn w:val="Normal"/>
    <w:autoRedefine/>
    <w:qFormat/>
    <w:rsid w:val="00863910"/>
    <w:pPr>
      <w:spacing w:before="200" w:after="200" w:line="240" w:lineRule="auto"/>
      <w:jc w:val="center"/>
    </w:pPr>
    <w:rPr>
      <w:rFonts w:ascii="Times New Roman" w:eastAsia="Times New Roman" w:hAnsi="Times New Roman" w:cs="Times New Roman"/>
      <w:bCs/>
      <w:sz w:val="20"/>
      <w:szCs w:val="20"/>
    </w:rPr>
  </w:style>
  <w:style w:type="paragraph" w:customStyle="1" w:styleId="noidungbang2">
    <w:name w:val="noidungbang2"/>
    <w:basedOn w:val="Normal"/>
    <w:autoRedefine/>
    <w:qFormat/>
    <w:rsid w:val="00863910"/>
    <w:pPr>
      <w:spacing w:after="0" w:line="240" w:lineRule="auto"/>
    </w:pPr>
    <w:rPr>
      <w:rFonts w:ascii="Times New Roman" w:eastAsia="Times New Roman" w:hAnsi="Times New Roman" w:cs="Times New Roman"/>
      <w:bCs/>
      <w:sz w:val="20"/>
      <w:szCs w:val="20"/>
    </w:rPr>
  </w:style>
  <w:style w:type="paragraph" w:customStyle="1" w:styleId="tailituthamkhao-CRTL4">
    <w:name w:val="tailituthamkhao-CRTL4"/>
    <w:basedOn w:val="Normal"/>
    <w:autoRedefine/>
    <w:qFormat/>
    <w:rsid w:val="006A206D"/>
    <w:pPr>
      <w:numPr>
        <w:numId w:val="1"/>
      </w:numPr>
      <w:tabs>
        <w:tab w:val="num" w:pos="397"/>
      </w:tabs>
      <w:spacing w:before="40" w:after="0" w:line="240" w:lineRule="auto"/>
      <w:ind w:left="397"/>
      <w:jc w:val="both"/>
    </w:pPr>
    <w:rPr>
      <w:rFonts w:ascii="Times New Roman" w:eastAsia="Times New Roman" w:hAnsi="Times New Roman" w:cs="Times New Roman"/>
      <w:sz w:val="19"/>
      <w:szCs w:val="19"/>
      <w:lang w:val="vi-VN"/>
    </w:rPr>
  </w:style>
  <w:style w:type="paragraph" w:customStyle="1" w:styleId="MOTNHO">
    <w:name w:val="MOTNHO"/>
    <w:basedOn w:val="Normal"/>
    <w:autoRedefine/>
    <w:qFormat/>
    <w:rsid w:val="00863910"/>
    <w:pPr>
      <w:spacing w:before="200" w:after="200" w:line="240" w:lineRule="auto"/>
      <w:jc w:val="both"/>
    </w:pPr>
    <w:rPr>
      <w:rFonts w:ascii="Times New Roman" w:eastAsia="Times New Roman" w:hAnsi="Times New Roman" w:cs="Times New Roman"/>
      <w:i/>
      <w:lang w:val="de-DE"/>
    </w:rPr>
  </w:style>
  <w:style w:type="paragraph" w:customStyle="1" w:styleId="MOTNHONHO-CTRL1">
    <w:name w:val="MOTNHONHO-CTRL1"/>
    <w:basedOn w:val="Normal"/>
    <w:autoRedefine/>
    <w:qFormat/>
    <w:rsid w:val="00863910"/>
    <w:pPr>
      <w:spacing w:before="80" w:after="80" w:line="240" w:lineRule="auto"/>
      <w:ind w:firstLine="340"/>
      <w:jc w:val="both"/>
    </w:pPr>
    <w:rPr>
      <w:rFonts w:ascii="Times New Roman" w:eastAsia="Times New Roman" w:hAnsi="Times New Roman" w:cs="Times New Roman"/>
      <w:i/>
      <w:lang w:val="pt-BR"/>
    </w:rPr>
  </w:style>
  <w:style w:type="paragraph" w:customStyle="1" w:styleId="Style6">
    <w:name w:val="Style6"/>
    <w:basedOn w:val="Normal"/>
    <w:autoRedefine/>
    <w:qFormat/>
    <w:rsid w:val="00863910"/>
    <w:pPr>
      <w:spacing w:before="60" w:after="60" w:line="240" w:lineRule="auto"/>
      <w:ind w:firstLine="340"/>
      <w:jc w:val="both"/>
    </w:pPr>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863910"/>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63910"/>
    <w:rPr>
      <w:rFonts w:asciiTheme="majorHAnsi" w:eastAsiaTheme="majorEastAsia" w:hAnsiTheme="majorHAnsi" w:cstheme="majorBidi"/>
      <w:color w:val="2E74B5" w:themeColor="accent1" w:themeShade="BF"/>
      <w:sz w:val="32"/>
      <w:szCs w:val="32"/>
    </w:rPr>
  </w:style>
  <w:style w:type="paragraph" w:customStyle="1" w:styleId="TENBAI-F12">
    <w:name w:val="TENBAI-F12"/>
    <w:basedOn w:val="tenbai2"/>
    <w:autoRedefine/>
    <w:qFormat/>
    <w:rsid w:val="001E1711"/>
  </w:style>
  <w:style w:type="paragraph" w:customStyle="1" w:styleId="TENTG">
    <w:name w:val="TENTG"/>
    <w:basedOn w:val="tentacgia2"/>
    <w:autoRedefine/>
    <w:qFormat/>
    <w:rsid w:val="006A206D"/>
  </w:style>
  <w:style w:type="paragraph" w:customStyle="1" w:styleId="DIACHI">
    <w:name w:val="DIACHI"/>
    <w:basedOn w:val="diachitg2"/>
    <w:autoRedefine/>
    <w:qFormat/>
    <w:rsid w:val="006A206D"/>
  </w:style>
  <w:style w:type="paragraph" w:customStyle="1" w:styleId="NN">
    <w:name w:val="NN"/>
    <w:basedOn w:val="nn2"/>
    <w:autoRedefine/>
    <w:qFormat/>
    <w:rsid w:val="0036180A"/>
    <w:rPr>
      <w:lang w:val="vi-VN"/>
    </w:rPr>
  </w:style>
  <w:style w:type="paragraph" w:customStyle="1" w:styleId="TOMTAT-F8">
    <w:name w:val="TOMTAT-F8"/>
    <w:basedOn w:val="tomtat2"/>
    <w:autoRedefine/>
    <w:qFormat/>
    <w:rsid w:val="006A206D"/>
  </w:style>
  <w:style w:type="paragraph" w:customStyle="1" w:styleId="TIEUDE">
    <w:name w:val="TIEUDE"/>
    <w:basedOn w:val="tieude1"/>
    <w:autoRedefine/>
    <w:qFormat/>
    <w:rsid w:val="006A206D"/>
  </w:style>
  <w:style w:type="paragraph" w:customStyle="1" w:styleId="NOIDUNG">
    <w:name w:val="NOIDUNG"/>
    <w:basedOn w:val="Style6"/>
    <w:autoRedefine/>
    <w:qFormat/>
    <w:rsid w:val="006A206D"/>
  </w:style>
  <w:style w:type="paragraph" w:customStyle="1" w:styleId="MOTNHO1-F6">
    <w:name w:val="MOTNHO1-F6"/>
    <w:basedOn w:val="MOTNHO"/>
    <w:autoRedefine/>
    <w:qFormat/>
    <w:rsid w:val="006A206D"/>
  </w:style>
  <w:style w:type="paragraph" w:customStyle="1" w:styleId="NHONHO">
    <w:name w:val="NHONHO"/>
    <w:basedOn w:val="MOTNHONHO-CTRL1"/>
    <w:autoRedefine/>
    <w:qFormat/>
    <w:rsid w:val="006A206D"/>
  </w:style>
  <w:style w:type="paragraph" w:customStyle="1" w:styleId="TENBANG">
    <w:name w:val="TENBANG"/>
    <w:basedOn w:val="tenbang2"/>
    <w:autoRedefine/>
    <w:qFormat/>
    <w:rsid w:val="006A206D"/>
  </w:style>
  <w:style w:type="paragraph" w:customStyle="1" w:styleId="NDBANG">
    <w:name w:val="NDBANG"/>
    <w:basedOn w:val="noidungbang2"/>
    <w:autoRedefine/>
    <w:qFormat/>
    <w:rsid w:val="006A206D"/>
  </w:style>
  <w:style w:type="paragraph" w:customStyle="1" w:styleId="TLTK1">
    <w:name w:val="TLTK1"/>
    <w:basedOn w:val="tailituthamkhao-CRTL4"/>
    <w:autoRedefine/>
    <w:qFormat/>
    <w:rsid w:val="00D870A7"/>
  </w:style>
  <w:style w:type="character" w:customStyle="1" w:styleId="Style105pt">
    <w:name w:val="Style 105 pt"/>
    <w:rsid w:val="007866FA"/>
    <w:rPr>
      <w:rFonts w:ascii="Times New Roman" w:hAnsi="Times New Roman"/>
      <w:sz w:val="22"/>
      <w:szCs w:val="22"/>
      <w:lang w:val="en-US" w:eastAsia="en-US" w:bidi="ar-SA"/>
    </w:rPr>
  </w:style>
  <w:style w:type="paragraph" w:customStyle="1" w:styleId="NGAYNHAN">
    <w:name w:val="NGAYNHAN"/>
    <w:basedOn w:val="Normal"/>
    <w:autoRedefine/>
    <w:qFormat/>
    <w:rsid w:val="005E4A54"/>
    <w:pPr>
      <w:spacing w:before="200" w:after="560" w:line="240" w:lineRule="auto"/>
      <w:jc w:val="center"/>
    </w:pPr>
    <w:rPr>
      <w:rFonts w:ascii="Times New Roman" w:eastAsia="Times New Roman" w:hAnsi="Times New Roman" w:cs="Times New Roman"/>
      <w:sz w:val="20"/>
      <w:szCs w:val="20"/>
      <w:lang w:val="vi-VN"/>
    </w:rPr>
  </w:style>
  <w:style w:type="paragraph" w:customStyle="1" w:styleId="1LON">
    <w:name w:val="1LON"/>
    <w:basedOn w:val="Normal"/>
    <w:autoRedefine/>
    <w:qFormat/>
    <w:rsid w:val="007866FA"/>
    <w:pPr>
      <w:keepNext/>
      <w:spacing w:after="0" w:line="240" w:lineRule="auto"/>
      <w:jc w:val="center"/>
      <w:outlineLvl w:val="6"/>
    </w:pPr>
    <w:rPr>
      <w:rFonts w:ascii="Times New Roman" w:eastAsia="Times New Roman" w:hAnsi="Times New Roman" w:cs="Times New Roman"/>
      <w:b/>
      <w:bCs/>
      <w:color w:val="000000"/>
      <w:lang w:val="vi-VN"/>
    </w:rPr>
  </w:style>
  <w:style w:type="paragraph" w:customStyle="1" w:styleId="Style36">
    <w:name w:val="Style36"/>
    <w:basedOn w:val="Normal"/>
    <w:qFormat/>
    <w:rsid w:val="007866FA"/>
    <w:pPr>
      <w:tabs>
        <w:tab w:val="num" w:pos="397"/>
      </w:tabs>
      <w:spacing w:before="40" w:after="0" w:line="240" w:lineRule="auto"/>
      <w:ind w:left="397" w:hanging="113"/>
      <w:jc w:val="both"/>
    </w:pPr>
    <w:rPr>
      <w:rFonts w:ascii="Times New Roman" w:eastAsia="Times New Roman" w:hAnsi="Times New Roman" w:cs="Times New Roman"/>
      <w:sz w:val="19"/>
      <w:szCs w:val="19"/>
      <w:lang w:val="vi-VN"/>
    </w:rPr>
  </w:style>
  <w:style w:type="paragraph" w:customStyle="1" w:styleId="Style46">
    <w:name w:val="Style46"/>
    <w:basedOn w:val="Normal"/>
    <w:qFormat/>
    <w:rsid w:val="007866FA"/>
    <w:pPr>
      <w:spacing w:before="120" w:after="0" w:line="240" w:lineRule="auto"/>
      <w:jc w:val="center"/>
    </w:pPr>
    <w:rPr>
      <w:rFonts w:ascii="Times New Roman" w:eastAsia="Times New Roman" w:hAnsi="Times New Roman" w:cs="Times New Roman"/>
      <w:bCs/>
      <w:color w:val="000000"/>
      <w:sz w:val="36"/>
      <w:szCs w:val="36"/>
      <w:lang w:val="vi-VN"/>
    </w:rPr>
  </w:style>
  <w:style w:type="paragraph" w:customStyle="1" w:styleId="Style47">
    <w:name w:val="Style47"/>
    <w:basedOn w:val="Normal"/>
    <w:qFormat/>
    <w:rsid w:val="007866FA"/>
    <w:pPr>
      <w:keepNext/>
      <w:spacing w:before="510" w:after="170" w:line="240" w:lineRule="auto"/>
      <w:jc w:val="center"/>
      <w:outlineLvl w:val="1"/>
    </w:pPr>
    <w:rPr>
      <w:rFonts w:ascii="Times New Roman" w:eastAsia="Times New Roman" w:hAnsi="Times New Roman" w:cs="Times New Roman"/>
      <w:bCs/>
      <w:color w:val="000000"/>
      <w:sz w:val="27"/>
      <w:szCs w:val="27"/>
    </w:rPr>
  </w:style>
  <w:style w:type="paragraph" w:customStyle="1" w:styleId="Style48">
    <w:name w:val="Style48"/>
    <w:basedOn w:val="Normal"/>
    <w:qFormat/>
    <w:rsid w:val="007866FA"/>
    <w:pPr>
      <w:spacing w:after="0" w:line="240" w:lineRule="auto"/>
      <w:ind w:left="562" w:right="562"/>
      <w:jc w:val="both"/>
    </w:pPr>
    <w:rPr>
      <w:rFonts w:ascii="Times New Roman" w:eastAsia="Times New Roman" w:hAnsi="Times New Roman" w:cs="Times New Roman"/>
      <w:color w:val="000000"/>
      <w:sz w:val="20"/>
      <w:szCs w:val="20"/>
    </w:rPr>
  </w:style>
  <w:style w:type="paragraph" w:customStyle="1" w:styleId="Style49">
    <w:name w:val="Style49"/>
    <w:basedOn w:val="Normal"/>
    <w:qFormat/>
    <w:rsid w:val="007866FA"/>
    <w:pPr>
      <w:keepNext/>
      <w:spacing w:after="0" w:line="240" w:lineRule="auto"/>
      <w:jc w:val="center"/>
      <w:outlineLvl w:val="0"/>
    </w:pPr>
    <w:rPr>
      <w:rFonts w:ascii="Times New Roman" w:eastAsia="Times New Roman" w:hAnsi="Times New Roman" w:cs="Times New Roman"/>
      <w:i/>
      <w:iCs/>
      <w:color w:val="000000"/>
      <w:sz w:val="21"/>
      <w:szCs w:val="21"/>
    </w:rPr>
  </w:style>
  <w:style w:type="paragraph" w:customStyle="1" w:styleId="Style50">
    <w:name w:val="Style50"/>
    <w:basedOn w:val="Normal"/>
    <w:qFormat/>
    <w:rsid w:val="007866FA"/>
    <w:pPr>
      <w:spacing w:after="0" w:line="240" w:lineRule="auto"/>
      <w:ind w:firstLine="346"/>
      <w:jc w:val="both"/>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7C0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5A"/>
    <w:rPr>
      <w:rFonts w:ascii="Segoe UI" w:hAnsi="Segoe UI" w:cs="Segoe UI"/>
      <w:sz w:val="18"/>
      <w:szCs w:val="18"/>
    </w:rPr>
  </w:style>
  <w:style w:type="paragraph" w:customStyle="1" w:styleId="tenbai">
    <w:name w:val="tenbai"/>
    <w:basedOn w:val="TENBAI-F12"/>
    <w:autoRedefine/>
    <w:qFormat/>
    <w:rsid w:val="005D1B79"/>
  </w:style>
  <w:style w:type="paragraph" w:customStyle="1" w:styleId="Tentacgia-F11">
    <w:name w:val="Tentacgia-F11"/>
    <w:basedOn w:val="TENTG"/>
    <w:autoRedefine/>
    <w:qFormat/>
    <w:rsid w:val="005D1B79"/>
  </w:style>
  <w:style w:type="paragraph" w:customStyle="1" w:styleId="Diachitacgia">
    <w:name w:val="Diachitacgia"/>
    <w:basedOn w:val="DIACHI"/>
    <w:autoRedefine/>
    <w:qFormat/>
    <w:rsid w:val="005D1B79"/>
    <w:rPr>
      <w:lang w:val="vi-VN"/>
    </w:rPr>
  </w:style>
  <w:style w:type="paragraph" w:customStyle="1" w:styleId="Ngaynhan0">
    <w:name w:val="Ngaynhan"/>
    <w:basedOn w:val="NGAYNHAN"/>
    <w:autoRedefine/>
    <w:qFormat/>
    <w:rsid w:val="00604BAC"/>
    <w:pPr>
      <w:spacing w:after="400"/>
    </w:pPr>
  </w:style>
  <w:style w:type="paragraph" w:customStyle="1" w:styleId="Tomtat">
    <w:name w:val="Tomtat"/>
    <w:basedOn w:val="TOMTAT-F8"/>
    <w:autoRedefine/>
    <w:qFormat/>
    <w:rsid w:val="005D1B79"/>
    <w:rPr>
      <w:b/>
      <w:lang w:val="pt-BR"/>
    </w:rPr>
  </w:style>
  <w:style w:type="paragraph" w:customStyle="1" w:styleId="Tieude-F5">
    <w:name w:val="Tieude-F5"/>
    <w:basedOn w:val="TIEUDE"/>
    <w:autoRedefine/>
    <w:qFormat/>
    <w:rsid w:val="006C7ADF"/>
    <w:rPr>
      <w:color w:val="000000" w:themeColor="text1"/>
    </w:rPr>
  </w:style>
  <w:style w:type="paragraph" w:customStyle="1" w:styleId="Noidung0">
    <w:name w:val="Noidung"/>
    <w:basedOn w:val="Style50"/>
    <w:autoRedefine/>
    <w:qFormat/>
    <w:rsid w:val="005D1B79"/>
    <w:pPr>
      <w:spacing w:before="60" w:after="60"/>
    </w:pPr>
  </w:style>
  <w:style w:type="paragraph" w:customStyle="1" w:styleId="Tieudenho">
    <w:name w:val="Tieudenho"/>
    <w:basedOn w:val="MOTNHO1-F6"/>
    <w:autoRedefine/>
    <w:qFormat/>
    <w:rsid w:val="005D1B79"/>
  </w:style>
  <w:style w:type="paragraph" w:customStyle="1" w:styleId="Nhonho0">
    <w:name w:val="Nhonho"/>
    <w:basedOn w:val="NHONHO"/>
    <w:autoRedefine/>
    <w:qFormat/>
    <w:rsid w:val="005D1B79"/>
  </w:style>
  <w:style w:type="paragraph" w:customStyle="1" w:styleId="Tenbang-CRTL2">
    <w:name w:val="Tenbang-CRTL2"/>
    <w:basedOn w:val="TENBANG"/>
    <w:autoRedefine/>
    <w:qFormat/>
    <w:rsid w:val="002953A1"/>
    <w:rPr>
      <w:sz w:val="22"/>
      <w:szCs w:val="22"/>
    </w:rPr>
  </w:style>
  <w:style w:type="paragraph" w:customStyle="1" w:styleId="NDbang-CRTL3">
    <w:name w:val="NDbang-CRTL3"/>
    <w:basedOn w:val="NDBANG"/>
    <w:autoRedefine/>
    <w:qFormat/>
    <w:rsid w:val="005D1B79"/>
  </w:style>
  <w:style w:type="paragraph" w:customStyle="1" w:styleId="thamkhao">
    <w:name w:val="thamkhao"/>
    <w:basedOn w:val="TLTK1"/>
    <w:autoRedefine/>
    <w:qFormat/>
    <w:rsid w:val="005B2074"/>
    <w:rPr>
      <w:noProof/>
    </w:rPr>
  </w:style>
  <w:style w:type="paragraph" w:customStyle="1" w:styleId="tt">
    <w:name w:val="tt"/>
    <w:basedOn w:val="Tomtat"/>
    <w:autoRedefine/>
    <w:qFormat/>
    <w:rsid w:val="00141A69"/>
    <w:rPr>
      <w:b w:val="0"/>
    </w:rPr>
  </w:style>
  <w:style w:type="paragraph" w:customStyle="1" w:styleId="tieude10">
    <w:name w:val="tieude 1"/>
    <w:basedOn w:val="tenbai"/>
    <w:qFormat/>
    <w:rsid w:val="006C7ADF"/>
  </w:style>
  <w:style w:type="paragraph" w:customStyle="1" w:styleId="tieude0">
    <w:name w:val="tieude"/>
    <w:basedOn w:val="tieude10"/>
    <w:autoRedefine/>
    <w:qFormat/>
    <w:rsid w:val="006C7ADF"/>
  </w:style>
  <w:style w:type="paragraph" w:customStyle="1" w:styleId="tentg0">
    <w:name w:val="tentg"/>
    <w:basedOn w:val="Tentacgia-F11"/>
    <w:autoRedefine/>
    <w:qFormat/>
    <w:rsid w:val="006C7ADF"/>
  </w:style>
  <w:style w:type="paragraph" w:customStyle="1" w:styleId="diachitg">
    <w:name w:val="diachitg"/>
    <w:basedOn w:val="Diachitacgia"/>
    <w:autoRedefine/>
    <w:qFormat/>
    <w:rsid w:val="006C7ADF"/>
    <w:rPr>
      <w:shd w:val="clear" w:color="auto" w:fill="FFFFFF"/>
    </w:rPr>
  </w:style>
  <w:style w:type="paragraph" w:customStyle="1" w:styleId="nn0">
    <w:name w:val="nn"/>
    <w:basedOn w:val="Ngaynhan0"/>
    <w:autoRedefine/>
    <w:qFormat/>
    <w:rsid w:val="006C7ADF"/>
  </w:style>
  <w:style w:type="paragraph" w:customStyle="1" w:styleId="tomtat0">
    <w:name w:val="tomtat"/>
    <w:basedOn w:val="tt"/>
    <w:autoRedefine/>
    <w:qFormat/>
    <w:rsid w:val="006C7ADF"/>
  </w:style>
  <w:style w:type="paragraph" w:customStyle="1" w:styleId="tieudemoi">
    <w:name w:val="tieudemoi"/>
    <w:basedOn w:val="Tieude-F5"/>
    <w:autoRedefine/>
    <w:qFormat/>
    <w:rsid w:val="006C7ADF"/>
  </w:style>
  <w:style w:type="paragraph" w:customStyle="1" w:styleId="noidungmoi">
    <w:name w:val="noidungmoi"/>
    <w:basedOn w:val="Noidung0"/>
    <w:autoRedefine/>
    <w:qFormat/>
    <w:rsid w:val="006C7ADF"/>
  </w:style>
  <w:style w:type="paragraph" w:customStyle="1" w:styleId="tieudenho0">
    <w:name w:val="tieudenho"/>
    <w:basedOn w:val="Tieudenho"/>
    <w:autoRedefine/>
    <w:qFormat/>
    <w:rsid w:val="006C7ADF"/>
  </w:style>
  <w:style w:type="paragraph" w:customStyle="1" w:styleId="tieudebe">
    <w:name w:val="tieudebe"/>
    <w:basedOn w:val="Nhonho0"/>
    <w:autoRedefine/>
    <w:qFormat/>
    <w:rsid w:val="006C7ADF"/>
  </w:style>
  <w:style w:type="paragraph" w:customStyle="1" w:styleId="tenbang0">
    <w:name w:val="tenbang"/>
    <w:basedOn w:val="Tenbang-CRTL2"/>
    <w:autoRedefine/>
    <w:qFormat/>
    <w:rsid w:val="006C7ADF"/>
  </w:style>
  <w:style w:type="paragraph" w:customStyle="1" w:styleId="ndbang0">
    <w:name w:val="ndbang"/>
    <w:basedOn w:val="NDbang-CRTL3"/>
    <w:autoRedefine/>
    <w:qFormat/>
    <w:rsid w:val="006C7ADF"/>
  </w:style>
  <w:style w:type="paragraph" w:customStyle="1" w:styleId="tltk0">
    <w:name w:val="tltk"/>
    <w:basedOn w:val="thamkhao"/>
    <w:autoRedefine/>
    <w:qFormat/>
    <w:rsid w:val="006C7ADF"/>
  </w:style>
  <w:style w:type="paragraph" w:customStyle="1" w:styleId="Style1">
    <w:name w:val="Style1"/>
    <w:basedOn w:val="TENBAI-F12"/>
    <w:qFormat/>
    <w:rsid w:val="008C041A"/>
  </w:style>
  <w:style w:type="character" w:customStyle="1" w:styleId="Heading2Char">
    <w:name w:val="Heading 2 Char"/>
    <w:basedOn w:val="DefaultParagraphFont"/>
    <w:link w:val="Heading2"/>
    <w:uiPriority w:val="9"/>
    <w:semiHidden/>
    <w:rsid w:val="008C041A"/>
    <w:rPr>
      <w:rFonts w:asciiTheme="majorHAnsi" w:eastAsiaTheme="majorEastAsia" w:hAnsiTheme="majorHAnsi" w:cstheme="majorBidi"/>
      <w:color w:val="2E74B5" w:themeColor="accent1" w:themeShade="BF"/>
      <w:sz w:val="26"/>
      <w:szCs w:val="26"/>
    </w:rPr>
  </w:style>
  <w:style w:type="paragraph" w:customStyle="1" w:styleId="TNBI">
    <w:name w:val="TÊN BÀI"/>
    <w:basedOn w:val="Style1"/>
    <w:qFormat/>
    <w:rsid w:val="00CA7730"/>
  </w:style>
  <w:style w:type="paragraph" w:customStyle="1" w:styleId="Tnbi-Ctrl1">
    <w:name w:val="Tên bài -Ctrl 1"/>
    <w:basedOn w:val="TNBI"/>
    <w:autoRedefine/>
    <w:qFormat/>
    <w:rsid w:val="00CF3F56"/>
  </w:style>
  <w:style w:type="paragraph" w:customStyle="1" w:styleId="tntcgiCtrl2">
    <w:name w:val="tên tác giả Ctrl 2"/>
    <w:basedOn w:val="Tentacgia-F11"/>
    <w:autoRedefine/>
    <w:qFormat/>
    <w:rsid w:val="00CF3F56"/>
  </w:style>
  <w:style w:type="paragraph" w:customStyle="1" w:styleId="achctrl3">
    <w:name w:val="địa chỉ ctrl 3"/>
    <w:basedOn w:val="ACHTCGI-F10"/>
    <w:qFormat/>
    <w:rsid w:val="00CF3F56"/>
    <w:rPr>
      <w:shd w:val="clear" w:color="auto" w:fill="FFFFFF"/>
    </w:rPr>
  </w:style>
  <w:style w:type="paragraph" w:customStyle="1" w:styleId="tomtatctrl4">
    <w:name w:val="tom tat ctrl 4"/>
    <w:basedOn w:val="TOMTAT-F8"/>
    <w:autoRedefine/>
    <w:qFormat/>
    <w:rsid w:val="00CF3F56"/>
  </w:style>
  <w:style w:type="paragraph" w:customStyle="1" w:styleId="modauctri5">
    <w:name w:val="mo dau ctri 5"/>
    <w:basedOn w:val="Tieude-F5"/>
    <w:autoRedefine/>
    <w:qFormat/>
    <w:rsid w:val="003E1EF7"/>
  </w:style>
  <w:style w:type="paragraph" w:customStyle="1" w:styleId="noidungctrla">
    <w:name w:val="noi dung ctrl a"/>
    <w:basedOn w:val="noidung-F2"/>
    <w:qFormat/>
    <w:rsid w:val="00CF3F56"/>
  </w:style>
  <w:style w:type="paragraph" w:customStyle="1" w:styleId="motnhoctrl6">
    <w:name w:val="mot nho ctrl 6"/>
    <w:basedOn w:val="MOTNHO1-F6"/>
    <w:autoRedefine/>
    <w:qFormat/>
    <w:rsid w:val="00CF3F56"/>
  </w:style>
  <w:style w:type="paragraph" w:customStyle="1" w:styleId="haichamhaictrl7">
    <w:name w:val="hai cham hai ctrl 7"/>
    <w:basedOn w:val="Nhonho0"/>
    <w:qFormat/>
    <w:rsid w:val="00CF3F56"/>
  </w:style>
  <w:style w:type="paragraph" w:customStyle="1" w:styleId="tenbangctrl8">
    <w:name w:val="ten bang ctrl 8"/>
    <w:basedOn w:val="Tenbang-CRTL2"/>
    <w:autoRedefine/>
    <w:qFormat/>
    <w:rsid w:val="00487CFC"/>
    <w:rPr>
      <w:sz w:val="20"/>
      <w:szCs w:val="20"/>
    </w:rPr>
  </w:style>
  <w:style w:type="paragraph" w:customStyle="1" w:styleId="noidungbangctrl9">
    <w:name w:val="noi dung bang ctrl 9"/>
    <w:basedOn w:val="NDbang-CRTL3"/>
    <w:autoRedefine/>
    <w:qFormat/>
    <w:rsid w:val="00CF3F56"/>
  </w:style>
  <w:style w:type="paragraph" w:customStyle="1" w:styleId="tailieuctrl0">
    <w:name w:val="tai lieu ctrl 0"/>
    <w:basedOn w:val="thamkhao"/>
    <w:autoRedefine/>
    <w:qFormat/>
    <w:rsid w:val="00CF3F56"/>
  </w:style>
  <w:style w:type="character" w:customStyle="1" w:styleId="UnresolvedMention1">
    <w:name w:val="Unresolved Mention1"/>
    <w:basedOn w:val="DefaultParagraphFont"/>
    <w:uiPriority w:val="99"/>
    <w:semiHidden/>
    <w:unhideWhenUsed/>
    <w:rsid w:val="0025211C"/>
    <w:rPr>
      <w:color w:val="605E5C"/>
      <w:shd w:val="clear" w:color="auto" w:fill="E1DFDD"/>
    </w:rPr>
  </w:style>
  <w:style w:type="table" w:customStyle="1" w:styleId="PlainTable21">
    <w:name w:val="Plain Table 21"/>
    <w:basedOn w:val="TableNormal"/>
    <w:next w:val="PlainTable2"/>
    <w:uiPriority w:val="42"/>
    <w:rsid w:val="009C683C"/>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9C68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ti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haithvn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E143-7D53-48B0-BBFA-DECE9BCE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13534</Words>
  <Characters>77145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Diamond Travel</dc:creator>
  <cp:keywords/>
  <dc:description/>
  <cp:lastModifiedBy>Admin</cp:lastModifiedBy>
  <cp:revision>3</cp:revision>
  <cp:lastPrinted>2025-10-21T03:05:00Z</cp:lastPrinted>
  <dcterms:created xsi:type="dcterms:W3CDTF">2025-10-21T02:18:00Z</dcterms:created>
  <dcterms:modified xsi:type="dcterms:W3CDTF">2025-10-21T03:05:00Z</dcterms:modified>
</cp:coreProperties>
</file>